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rPr>
        <w:t>202</w:t>
      </w:r>
      <w:r>
        <w:rPr>
          <w:rFonts w:hint="eastAsia" w:ascii="方正小标宋简体" w:hAnsi="方正小标宋简体" w:eastAsia="方正小标宋简体" w:cs="方正小标宋简体"/>
          <w:w w:val="100"/>
          <w:sz w:val="44"/>
          <w:szCs w:val="44"/>
          <w:lang w:val="en-US" w:eastAsia="zh-CN"/>
        </w:rPr>
        <w:t>5</w:t>
      </w:r>
      <w:r>
        <w:rPr>
          <w:rFonts w:hint="eastAsia" w:ascii="方正小标宋简体" w:hAnsi="方正小标宋简体" w:eastAsia="方正小标宋简体" w:cs="方正小标宋简体"/>
          <w:w w:val="100"/>
          <w:sz w:val="44"/>
          <w:szCs w:val="44"/>
        </w:rPr>
        <w:t>年长宁区法治政府建设情况报告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w w:val="100"/>
        </w:rPr>
      </w:pPr>
    </w:p>
    <w:p>
      <w:pPr>
        <w:pStyle w:val="4"/>
        <w:keepNext w:val="0"/>
        <w:keepLines w:val="0"/>
        <w:pageBreakBefore w:val="0"/>
        <w:widowControl w:val="0"/>
        <w:kinsoku/>
        <w:wordWrap/>
        <w:overflowPunct/>
        <w:topLinePunct w:val="0"/>
        <w:bidi w:val="0"/>
        <w:snapToGrid/>
        <w:spacing w:line="560" w:lineRule="exact"/>
        <w:ind w:firstLine="632" w:firstLineChars="200"/>
        <w:jc w:val="both"/>
        <w:rPr>
          <w:rFonts w:hint="eastAsia"/>
          <w:lang w:val="en-US" w:eastAsia="zh-CN"/>
        </w:rPr>
      </w:pPr>
      <w:r>
        <w:rPr>
          <w:rFonts w:hint="eastAsia" w:ascii="仿宋_GB2312" w:hAnsi="仿宋_GB2312" w:eastAsia="仿宋_GB2312" w:cs="仿宋_GB2312"/>
          <w:bCs/>
          <w:color w:val="auto"/>
          <w:kern w:val="2"/>
          <w:sz w:val="32"/>
          <w:szCs w:val="32"/>
          <w:lang w:val="en-US" w:eastAsia="zh-CN" w:bidi="ar-SA"/>
        </w:rPr>
        <w:t>2025年，在市委、市政府的坚强领导下，长宁区坚持以习近平新时代</w:t>
      </w:r>
      <w:r>
        <w:rPr>
          <w:rFonts w:hint="eastAsia" w:ascii="仿宋_GB2312" w:hAnsi="仿宋_GB2312" w:eastAsia="仿宋_GB2312" w:cs="仿宋_GB2312"/>
          <w:color w:val="auto"/>
          <w:sz w:val="32"/>
          <w:szCs w:val="32"/>
          <w:lang w:val="en-US" w:eastAsia="zh-CN"/>
        </w:rPr>
        <w:t>中国特色社会主义思想为指导</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lang w:val="en-US" w:eastAsia="zh-CN"/>
        </w:rPr>
        <w:t>全面贯彻落实党的二十大和二十届</w:t>
      </w:r>
      <w:r>
        <w:rPr>
          <w:rFonts w:hint="eastAsia" w:cs="仿宋_GB2312"/>
          <w:color w:val="auto"/>
          <w:sz w:val="32"/>
          <w:szCs w:val="32"/>
          <w:lang w:val="en-US" w:eastAsia="zh-CN"/>
        </w:rPr>
        <w:t>历次</w:t>
      </w:r>
      <w:r>
        <w:rPr>
          <w:rFonts w:hint="eastAsia" w:ascii="仿宋_GB2312" w:hAnsi="仿宋_GB2312" w:eastAsia="仿宋_GB2312" w:cs="仿宋_GB2312"/>
          <w:color w:val="auto"/>
          <w:sz w:val="32"/>
          <w:szCs w:val="32"/>
          <w:lang w:val="en-US" w:eastAsia="zh-CN"/>
        </w:rPr>
        <w:t>全会精神，深入学习贯彻习近平法治思想和习近平总书记考察上海重要讲话精神，</w:t>
      </w:r>
      <w:r>
        <w:rPr>
          <w:rFonts w:hint="eastAsia" w:ascii="仿宋_GB2312" w:hAnsi="Calibri" w:eastAsia="仿宋_GB2312" w:cs="Times New Roman"/>
          <w:color w:val="auto"/>
          <w:sz w:val="32"/>
          <w:szCs w:val="32"/>
          <w:lang w:eastAsia="zh-CN"/>
        </w:rPr>
        <w:t>为长宁加快建设具有世界影响力的国际精品城区提供坚实法治保障。现将</w:t>
      </w:r>
      <w:r>
        <w:rPr>
          <w:rFonts w:hint="eastAsia" w:hAnsi="Calibri" w:cs="Times New Roman"/>
          <w:color w:val="auto"/>
          <w:sz w:val="32"/>
          <w:szCs w:val="32"/>
          <w:lang w:val="en-US" w:eastAsia="zh-CN"/>
        </w:rPr>
        <w:t>有关情况</w:t>
      </w:r>
      <w:r>
        <w:rPr>
          <w:rFonts w:hint="eastAsia" w:ascii="仿宋_GB2312" w:hAnsi="Calibri" w:eastAsia="仿宋_GB2312" w:cs="Times New Roman"/>
          <w:color w:val="auto"/>
          <w:sz w:val="32"/>
          <w:szCs w:val="32"/>
          <w:lang w:eastAsia="zh-CN"/>
        </w:rPr>
        <w:t>报告如下：</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highlight w:val="none"/>
          <w:lang w:val="en-US" w:eastAsia="zh-CN"/>
        </w:rPr>
        <w:t>主要举措和成效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（一）深入学习宣传贯彻习近平法治思想</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黑体" w:hAnsi="黑体" w:eastAsia="黑体" w:cs="黑体"/>
          <w:sz w:val="32"/>
          <w:szCs w:val="32"/>
          <w:highlight w:val="none"/>
          <w:lang w:val="en-US" w:eastAsia="zh-CN"/>
        </w:rPr>
      </w:pPr>
      <w:r>
        <w:rPr>
          <w:rFonts w:hint="eastAsia" w:ascii="仿宋_GB2312" w:hAnsi="仿宋_GB2312" w:eastAsia="仿宋_GB2312" w:cs="仿宋_GB2312"/>
          <w:color w:val="auto"/>
          <w:sz w:val="32"/>
          <w:szCs w:val="32"/>
          <w:highlight w:val="none"/>
          <w:u w:val="none"/>
          <w:lang w:val="en-US" w:eastAsia="zh-CN"/>
        </w:rPr>
        <w:t>区委、区政府持续发挥带头示范作用，把加强党的政治建设放在首位，制定落实《关于2025年度深化学习宣传贯彻习近平法治思想的实施方案》，推动学悟笃行习近平法治思想向纵深发展，实现习近平法治思想各级党委（党组）中心组、执法司法单位、189个居民区全覆盖学习。区级层面组织学习贯彻习近平法治思想专题培训10场，不断增强领导干部学法用法的积极性、针对性和实效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bCs w:val="0"/>
          <w:color w:val="auto"/>
          <w:kern w:val="2"/>
          <w:sz w:val="32"/>
          <w:szCs w:val="32"/>
          <w:u w:val="none"/>
          <w:lang w:val="en-US" w:eastAsia="zh-CN" w:bidi="ar-SA"/>
        </w:rPr>
      </w:pPr>
      <w:r>
        <w:rPr>
          <w:rFonts w:hint="eastAsia" w:ascii="楷体_GB2312" w:hAnsi="楷体_GB2312" w:eastAsia="楷体_GB2312" w:cs="楷体_GB2312"/>
          <w:b/>
          <w:bCs w:val="0"/>
          <w:color w:val="auto"/>
          <w:kern w:val="2"/>
          <w:sz w:val="32"/>
          <w:szCs w:val="32"/>
          <w:lang w:val="en-US" w:eastAsia="zh-CN" w:bidi="ar-SA"/>
        </w:rPr>
        <w:t>（二）优化</w:t>
      </w:r>
      <w:r>
        <w:rPr>
          <w:rFonts w:hint="eastAsia" w:ascii="楷体_GB2312" w:hAnsi="楷体_GB2312" w:eastAsia="楷体_GB2312" w:cs="楷体_GB2312"/>
          <w:b/>
          <w:bCs w:val="0"/>
          <w:color w:val="auto"/>
          <w:kern w:val="2"/>
          <w:sz w:val="32"/>
          <w:szCs w:val="32"/>
          <w:u w:val="none"/>
          <w:lang w:val="en-US" w:eastAsia="zh-CN" w:bidi="ar-SA"/>
        </w:rPr>
        <w:t>法治化营商环境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textAlignment w:val="auto"/>
        <w:rPr>
          <w:rFonts w:hint="eastAsia" w:ascii="楷体_GB2312" w:hAnsi="楷体_GB2312" w:eastAsia="楷体_GB2312" w:cs="楷体_GB2312"/>
          <w:b/>
          <w:bCs w:val="0"/>
          <w:color w:val="auto"/>
          <w:kern w:val="2"/>
          <w:sz w:val="32"/>
          <w:szCs w:val="32"/>
          <w:u w:val="none"/>
          <w:lang w:val="en-US" w:eastAsia="zh-CN" w:bidi="ar-SA"/>
        </w:rPr>
      </w:pPr>
      <w:r>
        <w:rPr>
          <w:rFonts w:hint="eastAsia" w:ascii="仿宋_GB2312" w:hAnsi="仿宋_GB2312" w:eastAsia="仿宋_GB2312" w:cs="仿宋_GB2312"/>
          <w:b w:val="0"/>
          <w:bCs/>
          <w:color w:val="auto"/>
          <w:kern w:val="2"/>
          <w:sz w:val="32"/>
          <w:szCs w:val="32"/>
          <w:u w:val="none"/>
          <w:lang w:val="en-US" w:eastAsia="zh-CN" w:bidi="ar-SA"/>
        </w:rPr>
        <w:t>制定《长宁区聚焦提升企业感受持续打造国际一流营商环境行动方案》（区8.0版行动方案），推出“法治保障”等“八张特色牌”，全面落实市优化营商环境“十大攻坚突破任务”，全力推进虹桥国际中央法务区联动创新区建设。全面推行涉企行政“检查码”，各行政执法单位使用“检查码”入企检查21187次，其中单部门检查19898次，联合检查1289次，努力做到“减量提质不扰企”</w:t>
      </w:r>
      <w:r>
        <w:rPr>
          <w:rFonts w:hint="eastAsia" w:ascii="仿宋_GB2312" w:hAnsi="仿宋_GB2312" w:eastAsia="仿宋_GB2312" w:cs="仿宋_GB2312"/>
          <w:b w:val="0"/>
          <w:bCs w:val="0"/>
          <w:sz w:val="32"/>
          <w:szCs w:val="32"/>
          <w:lang w:val="en-US" w:eastAsia="zh-CN"/>
        </w:rPr>
        <w:t>。积极落实</w:t>
      </w:r>
      <w:r>
        <w:rPr>
          <w:rFonts w:hint="eastAsia" w:ascii="仿宋_GB2312" w:hAnsi="仿宋_GB2312" w:eastAsia="仿宋_GB2312" w:cs="仿宋_GB2312"/>
          <w:b w:val="0"/>
          <w:bCs w:val="0"/>
          <w:spacing w:val="0"/>
          <w:sz w:val="32"/>
          <w:szCs w:val="32"/>
          <w:lang w:val="en-US" w:eastAsia="zh-CN"/>
        </w:rPr>
        <w:t>分级分类检查模式，拓展非现场检查场景，推出全市首家线上直播带货全流程智慧监管系统。</w:t>
      </w:r>
      <w:r>
        <w:rPr>
          <w:rFonts w:hint="eastAsia" w:ascii="仿宋_GB2312" w:hAnsi="仿宋_GB2312" w:eastAsia="仿宋_GB2312" w:cs="仿宋_GB2312"/>
          <w:b w:val="0"/>
          <w:bCs w:val="0"/>
          <w:sz w:val="32"/>
          <w:szCs w:val="32"/>
          <w:lang w:val="en-US" w:eastAsia="zh-CN"/>
        </w:rPr>
        <w:t>出台规制牟利性职业索赔行为的规范性文件，相关投诉下降55%。</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楷体_GB2312" w:hAnsi="楷体_GB2312" w:eastAsia="楷体_GB2312" w:cs="楷体_GB2312"/>
          <w:b/>
          <w:bCs w:val="0"/>
          <w:color w:val="auto"/>
          <w:kern w:val="2"/>
          <w:sz w:val="32"/>
          <w:szCs w:val="32"/>
          <w:u w:val="none"/>
          <w:lang w:val="en-US" w:eastAsia="zh-CN" w:bidi="ar-SA"/>
        </w:rPr>
      </w:pPr>
      <w:r>
        <w:rPr>
          <w:rFonts w:hint="eastAsia" w:ascii="楷体_GB2312" w:hAnsi="楷体_GB2312" w:eastAsia="楷体_GB2312" w:cs="楷体_GB2312"/>
          <w:b/>
          <w:bCs w:val="0"/>
          <w:color w:val="auto"/>
          <w:kern w:val="2"/>
          <w:sz w:val="32"/>
          <w:szCs w:val="32"/>
          <w:lang w:val="en-US" w:eastAsia="zh-CN" w:bidi="ar-SA"/>
        </w:rPr>
        <w:t>（三）加强</w:t>
      </w:r>
      <w:r>
        <w:rPr>
          <w:rFonts w:hint="eastAsia" w:ascii="楷体_GB2312" w:hAnsi="楷体_GB2312" w:eastAsia="楷体_GB2312" w:cs="楷体_GB2312"/>
          <w:b/>
          <w:bCs w:val="0"/>
          <w:color w:val="auto"/>
          <w:kern w:val="2"/>
          <w:sz w:val="32"/>
          <w:szCs w:val="32"/>
          <w:u w:val="none"/>
          <w:lang w:val="en-US" w:eastAsia="zh-CN" w:bidi="ar-SA"/>
        </w:rPr>
        <w:t>依法行政制度供给</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sz w:val="32"/>
          <w:szCs w:val="32"/>
          <w:lang w:val="en-US" w:eastAsia="zh-CN"/>
        </w:rPr>
        <w:t>健全依法决策机制，</w:t>
      </w:r>
      <w:r>
        <w:rPr>
          <w:rFonts w:hint="eastAsia" w:cs="仿宋_GB2312"/>
          <w:sz w:val="32"/>
          <w:szCs w:val="32"/>
          <w:lang w:val="en-US" w:eastAsia="zh-CN"/>
        </w:rPr>
        <w:t>落实</w:t>
      </w:r>
      <w:r>
        <w:rPr>
          <w:rFonts w:hint="eastAsia" w:ascii="仿宋_GB2312" w:hAnsi="仿宋_GB2312" w:eastAsia="仿宋_GB2312" w:cs="仿宋_GB2312"/>
          <w:sz w:val="32"/>
          <w:szCs w:val="32"/>
          <w:lang w:val="en-US" w:eastAsia="zh-CN"/>
        </w:rPr>
        <w:t>决策事项“三征三送”、决策执行“三位一体后评估机制”等特色工作法，发布《202</w:t>
      </w:r>
      <w:r>
        <w:rPr>
          <w:rFonts w:hint="eastAsia" w:cs="仿宋_GB2312"/>
          <w:sz w:val="32"/>
          <w:szCs w:val="32"/>
          <w:lang w:val="en-US" w:eastAsia="zh-CN"/>
        </w:rPr>
        <w:t>5</w:t>
      </w:r>
      <w:r>
        <w:rPr>
          <w:rFonts w:hint="eastAsia" w:ascii="仿宋_GB2312" w:hAnsi="仿宋_GB2312" w:eastAsia="仿宋_GB2312" w:cs="仿宋_GB2312"/>
          <w:sz w:val="32"/>
          <w:szCs w:val="32"/>
          <w:lang w:val="en-US" w:eastAsia="zh-CN"/>
        </w:rPr>
        <w:t>年度长宁区人民政府重大行政决策事项目录》，进一步规范重大行政决策行为，推动提高决策质量和效率。优化政策全流程公开，深化政策集成式发布成果，打造“政策公开讲”特色品牌，分5批次推出18个“最虹桥・科长讲政策”系列视频。推进基层法治观察</w:t>
      </w:r>
      <w:r>
        <w:rPr>
          <w:rFonts w:hint="eastAsia" w:cs="仿宋_GB2312"/>
          <w:sz w:val="32"/>
          <w:szCs w:val="32"/>
          <w:lang w:val="en-US" w:eastAsia="zh-CN"/>
        </w:rPr>
        <w:t>，</w:t>
      </w:r>
      <w:r>
        <w:rPr>
          <w:rFonts w:hint="eastAsia" w:ascii="仿宋_GB2312" w:hAnsi="仿宋_GB2312" w:eastAsia="仿宋_GB2312" w:cs="仿宋_GB2312"/>
          <w:sz w:val="32"/>
          <w:szCs w:val="32"/>
          <w:lang w:val="en-US" w:eastAsia="zh-CN"/>
        </w:rPr>
        <w:t>发布2025年度街镇法治观察年度十大主题，围绕“互联网知识产权商事调解”“行政执法规范化”等主题开展基层法治观察行活动，收集、梳理、研究相关意见建议。</w:t>
      </w:r>
      <w:r>
        <w:rPr>
          <w:rFonts w:hint="eastAsia" w:cs="仿宋_GB2312"/>
          <w:b w:val="0"/>
          <w:bCs/>
          <w:sz w:val="32"/>
          <w:szCs w:val="32"/>
          <w:highlight w:val="none"/>
          <w:lang w:val="en-US" w:eastAsia="zh-CN"/>
        </w:rPr>
        <w:t>全年</w:t>
      </w:r>
      <w:r>
        <w:rPr>
          <w:rFonts w:hint="eastAsia" w:ascii="仿宋_GB2312" w:hAnsi="仿宋_GB2312" w:eastAsia="仿宋_GB2312" w:cs="仿宋_GB2312"/>
          <w:b w:val="0"/>
          <w:bCs/>
          <w:sz w:val="32"/>
          <w:szCs w:val="32"/>
          <w:highlight w:val="none"/>
          <w:lang w:val="en-US" w:eastAsia="zh-CN"/>
        </w:rPr>
        <w:t>共组织开展</w:t>
      </w:r>
      <w:r>
        <w:rPr>
          <w:rFonts w:hint="eastAsia" w:cs="仿宋_GB2312"/>
          <w:b w:val="0"/>
          <w:bCs/>
          <w:sz w:val="32"/>
          <w:szCs w:val="32"/>
          <w:highlight w:val="none"/>
          <w:lang w:val="en-US" w:eastAsia="zh-CN"/>
        </w:rPr>
        <w:t>区级</w:t>
      </w:r>
      <w:r>
        <w:rPr>
          <w:rFonts w:hint="eastAsia" w:ascii="仿宋_GB2312" w:hAnsi="仿宋_GB2312" w:eastAsia="仿宋_GB2312" w:cs="仿宋_GB2312"/>
          <w:b w:val="0"/>
          <w:bCs/>
          <w:sz w:val="32"/>
          <w:szCs w:val="32"/>
          <w:highlight w:val="none"/>
          <w:lang w:val="en-US" w:eastAsia="zh-CN"/>
        </w:rPr>
        <w:t>基层法治观察行活动</w:t>
      </w:r>
      <w:r>
        <w:rPr>
          <w:rFonts w:hint="eastAsia" w:cs="仿宋_GB2312"/>
          <w:b w:val="0"/>
          <w:bCs/>
          <w:sz w:val="32"/>
          <w:szCs w:val="32"/>
          <w:highlight w:val="none"/>
          <w:lang w:val="en-US" w:eastAsia="zh-CN"/>
        </w:rPr>
        <w:t>4</w:t>
      </w:r>
      <w:r>
        <w:rPr>
          <w:rFonts w:hint="eastAsia" w:ascii="仿宋_GB2312" w:hAnsi="仿宋_GB2312" w:eastAsia="仿宋_GB2312" w:cs="仿宋_GB2312"/>
          <w:b w:val="0"/>
          <w:bCs/>
          <w:sz w:val="32"/>
          <w:szCs w:val="32"/>
          <w:highlight w:val="none"/>
          <w:lang w:val="en-US" w:eastAsia="zh-CN"/>
        </w:rPr>
        <w:t>场、座谈会</w:t>
      </w:r>
      <w:r>
        <w:rPr>
          <w:rFonts w:hint="eastAsia" w:cs="仿宋_GB2312"/>
          <w:b w:val="0"/>
          <w:bCs/>
          <w:sz w:val="32"/>
          <w:szCs w:val="32"/>
          <w:highlight w:val="none"/>
          <w:lang w:val="en-US" w:eastAsia="zh-CN"/>
        </w:rPr>
        <w:t>10</w:t>
      </w:r>
      <w:r>
        <w:rPr>
          <w:rFonts w:hint="eastAsia" w:ascii="仿宋_GB2312" w:hAnsi="仿宋_GB2312" w:eastAsia="仿宋_GB2312" w:cs="仿宋_GB2312"/>
          <w:b w:val="0"/>
          <w:bCs/>
          <w:sz w:val="32"/>
          <w:szCs w:val="32"/>
          <w:highlight w:val="none"/>
          <w:lang w:val="en-US" w:eastAsia="zh-CN"/>
        </w:rPr>
        <w:t>次，征集上报法治观察建议</w:t>
      </w:r>
      <w:r>
        <w:rPr>
          <w:rFonts w:hint="eastAsia" w:cs="仿宋_GB2312"/>
          <w:b w:val="0"/>
          <w:bCs/>
          <w:sz w:val="32"/>
          <w:szCs w:val="32"/>
          <w:highlight w:val="none"/>
          <w:lang w:val="en-US" w:eastAsia="zh-CN"/>
        </w:rPr>
        <w:t>206</w:t>
      </w:r>
      <w:r>
        <w:rPr>
          <w:rFonts w:hint="eastAsia" w:ascii="仿宋_GB2312" w:hAnsi="仿宋_GB2312" w:eastAsia="仿宋_GB2312" w:cs="仿宋_GB2312"/>
          <w:b w:val="0"/>
          <w:bCs/>
          <w:sz w:val="32"/>
          <w:szCs w:val="32"/>
          <w:highlight w:val="none"/>
          <w:lang w:val="en-US" w:eastAsia="zh-CN"/>
        </w:rPr>
        <w:t>条</w:t>
      </w:r>
      <w:r>
        <w:rPr>
          <w:rFonts w:hint="eastAsia" w:cs="仿宋_GB2312"/>
          <w:b w:val="0"/>
          <w:bCs/>
          <w:sz w:val="32"/>
          <w:szCs w:val="32"/>
          <w:highlight w:val="none"/>
          <w:lang w:val="en-US" w:eastAsia="zh-CN"/>
        </w:rPr>
        <w:t>。</w:t>
      </w:r>
    </w:p>
    <w:p>
      <w:pPr>
        <w:pStyle w:val="4"/>
        <w:keepNext w:val="0"/>
        <w:keepLines w:val="0"/>
        <w:pageBreakBefore w:val="0"/>
        <w:widowControl w:val="0"/>
        <w:kinsoku/>
        <w:wordWrap/>
        <w:overflowPunct/>
        <w:topLinePunct w:val="0"/>
        <w:bidi w:val="0"/>
        <w:snapToGrid/>
        <w:spacing w:line="560" w:lineRule="exact"/>
        <w:ind w:firstLine="632" w:firstLineChars="200"/>
        <w:jc w:val="both"/>
        <w:rPr>
          <w:rFonts w:hint="eastAsia" w:ascii="楷体_GB2312" w:hAnsi="楷体_GB2312" w:eastAsia="楷体_GB2312" w:cs="楷体_GB2312"/>
          <w:b/>
          <w:bCs/>
          <w:i w:val="0"/>
          <w:sz w:val="32"/>
          <w:szCs w:val="32"/>
          <w:highlight w:val="none"/>
          <w:lang w:eastAsia="zh-CN"/>
        </w:rPr>
      </w:pPr>
      <w:r>
        <w:rPr>
          <w:rFonts w:hint="eastAsia" w:ascii="楷体_GB2312" w:hAnsi="楷体_GB2312" w:eastAsia="楷体_GB2312" w:cs="楷体_GB2312"/>
          <w:b/>
          <w:bCs/>
          <w:i w:val="0"/>
          <w:sz w:val="32"/>
          <w:szCs w:val="32"/>
          <w:highlight w:val="none"/>
          <w:lang w:eastAsia="zh-CN"/>
        </w:rPr>
        <w:t>（</w:t>
      </w:r>
      <w:r>
        <w:rPr>
          <w:rFonts w:hint="eastAsia" w:ascii="楷体_GB2312" w:hAnsi="楷体_GB2312" w:eastAsia="楷体_GB2312" w:cs="楷体_GB2312"/>
          <w:b/>
          <w:bCs/>
          <w:i w:val="0"/>
          <w:sz w:val="32"/>
          <w:szCs w:val="32"/>
          <w:highlight w:val="none"/>
          <w:lang w:val="en-US" w:eastAsia="zh-CN"/>
        </w:rPr>
        <w:t>四</w:t>
      </w:r>
      <w:r>
        <w:rPr>
          <w:rFonts w:hint="eastAsia" w:ascii="楷体_GB2312" w:hAnsi="楷体_GB2312" w:eastAsia="楷体_GB2312" w:cs="楷体_GB2312"/>
          <w:b/>
          <w:bCs/>
          <w:i w:val="0"/>
          <w:sz w:val="32"/>
          <w:szCs w:val="32"/>
          <w:highlight w:val="none"/>
          <w:lang w:eastAsia="zh-CN"/>
        </w:rPr>
        <w:t>）推进政府职能转变</w:t>
      </w:r>
    </w:p>
    <w:p>
      <w:pPr>
        <w:pStyle w:val="4"/>
        <w:keepNext w:val="0"/>
        <w:keepLines w:val="0"/>
        <w:pageBreakBefore w:val="0"/>
        <w:widowControl w:val="0"/>
        <w:kinsoku/>
        <w:wordWrap/>
        <w:overflowPunct/>
        <w:topLinePunct w:val="0"/>
        <w:bidi w:val="0"/>
        <w:snapToGrid/>
        <w:spacing w:line="560" w:lineRule="exact"/>
        <w:ind w:firstLine="632" w:firstLineChars="200"/>
        <w:jc w:val="both"/>
        <w:rPr>
          <w:rFonts w:hint="eastAsia" w:ascii="仿宋_GB2312" w:hAnsi="仿宋_GB2312" w:eastAsia="仿宋_GB2312" w:cs="仿宋_GB2312"/>
          <w:b w:val="0"/>
          <w:bCs w:val="0"/>
          <w:i w:val="0"/>
          <w:sz w:val="32"/>
          <w:szCs w:val="32"/>
          <w:highlight w:val="none"/>
          <w:lang w:eastAsia="zh-CN"/>
        </w:rPr>
      </w:pPr>
      <w:r>
        <w:rPr>
          <w:rFonts w:hint="eastAsia" w:ascii="仿宋_GB2312" w:hAnsi="仿宋_GB2312" w:eastAsia="仿宋_GB2312" w:cs="仿宋_GB2312"/>
          <w:b w:val="0"/>
          <w:bCs w:val="0"/>
          <w:i w:val="0"/>
          <w:sz w:val="32"/>
          <w:szCs w:val="32"/>
          <w:highlight w:val="none"/>
          <w:lang w:eastAsia="zh-CN"/>
        </w:rPr>
        <w:t>聚焦流程优化与效能提升，推进“开店一件事”集成服务改革，上线长宁区“开店一件事”一站式服务平台。上线流动人员档案服务、养老服务等2个区级“一件事”，推进夫妻投靠“一件事”建设。落实行政许可告知承诺制改革，在区级综窗系统新增信用核查功能。推动市级91个重点行业领域跨部门综合监管举措在我区落地，</w:t>
      </w:r>
      <w:r>
        <w:rPr>
          <w:rFonts w:hint="eastAsia" w:cs="仿宋_GB2312"/>
          <w:b w:val="0"/>
          <w:bCs w:val="0"/>
          <w:i w:val="0"/>
          <w:sz w:val="32"/>
          <w:szCs w:val="32"/>
          <w:highlight w:val="none"/>
          <w:lang w:val="en-US" w:eastAsia="zh-CN"/>
        </w:rPr>
        <w:t>探索</w:t>
      </w:r>
      <w:r>
        <w:rPr>
          <w:rFonts w:hint="eastAsia" w:ascii="仿宋_GB2312" w:hAnsi="仿宋_GB2312" w:eastAsia="仿宋_GB2312" w:cs="仿宋_GB2312"/>
          <w:b w:val="0"/>
          <w:bCs w:val="0"/>
          <w:i w:val="0"/>
          <w:sz w:val="32"/>
          <w:szCs w:val="32"/>
          <w:highlight w:val="none"/>
          <w:lang w:eastAsia="zh-CN"/>
        </w:rPr>
        <w:t>新增对建设工程“三位一体”巡查的区级特色跨部门综合监管场景。率先实施连锁企业分支机构便利化登记，实现门店营业执照“授权办理、批量签署”。率先落地全市饮品类排水许可试点，以企业信用承诺替代排水平面图提交。</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firstLine="632" w:firstLineChars="200"/>
        <w:jc w:val="both"/>
        <w:textAlignment w:val="auto"/>
        <w:rPr>
          <w:rFonts w:hint="eastAsia" w:ascii="楷体_GB2312" w:hAnsi="楷体_GB2312" w:eastAsia="楷体_GB2312" w:cs="楷体_GB2312"/>
          <w:b/>
          <w:bCs/>
          <w:i w:val="0"/>
          <w:kern w:val="2"/>
          <w:sz w:val="32"/>
          <w:szCs w:val="32"/>
          <w:highlight w:val="none"/>
          <w:lang w:val="en-US" w:eastAsia="zh-CN" w:bidi="ar-SA"/>
        </w:rPr>
      </w:pPr>
      <w:r>
        <w:rPr>
          <w:rFonts w:hint="eastAsia" w:ascii="楷体_GB2312" w:hAnsi="楷体_GB2312" w:eastAsia="楷体_GB2312" w:cs="楷体_GB2312"/>
          <w:b/>
          <w:bCs/>
          <w:i w:val="0"/>
          <w:kern w:val="2"/>
          <w:sz w:val="32"/>
          <w:szCs w:val="32"/>
          <w:lang w:val="en-US" w:eastAsia="zh-CN" w:bidi="ar-SA"/>
        </w:rPr>
        <w:t>（五）</w:t>
      </w:r>
      <w:r>
        <w:rPr>
          <w:rFonts w:hint="eastAsia" w:ascii="楷体_GB2312" w:hAnsi="楷体_GB2312" w:eastAsia="楷体_GB2312" w:cs="楷体_GB2312"/>
          <w:b/>
          <w:bCs/>
          <w:i w:val="0"/>
          <w:kern w:val="2"/>
          <w:sz w:val="32"/>
          <w:szCs w:val="32"/>
          <w:highlight w:val="none"/>
          <w:lang w:val="en-US" w:eastAsia="zh-CN" w:bidi="ar-SA"/>
        </w:rPr>
        <w:t>推进严格规范公正文明执法</w:t>
      </w:r>
    </w:p>
    <w:p>
      <w:pPr>
        <w:pStyle w:val="5"/>
        <w:keepNext w:val="0"/>
        <w:keepLines w:val="0"/>
        <w:pageBreakBefore w:val="0"/>
        <w:widowControl w:val="0"/>
        <w:numPr>
          <w:ilvl w:val="0"/>
          <w:numId w:val="0"/>
        </w:numPr>
        <w:kinsoku/>
        <w:wordWrap/>
        <w:overflowPunct/>
        <w:topLinePunct w:val="0"/>
        <w:autoSpaceDE/>
        <w:autoSpaceDN/>
        <w:bidi w:val="0"/>
        <w:adjustRightInd/>
        <w:spacing w:line="560" w:lineRule="exact"/>
        <w:ind w:firstLine="632" w:firstLineChars="200"/>
        <w:jc w:val="both"/>
        <w:textAlignment w:val="auto"/>
        <w:rPr>
          <w:rFonts w:hint="eastAsia" w:ascii="仿宋_GB2312" w:hAnsi="仿宋_GB2312" w:eastAsia="仿宋_GB2312" w:cs="仿宋_GB2312"/>
          <w:b w:val="0"/>
          <w:bCs w:val="0"/>
          <w:i w:val="0"/>
          <w:kern w:val="2"/>
          <w:sz w:val="32"/>
          <w:szCs w:val="32"/>
          <w:highlight w:val="none"/>
          <w:lang w:val="en-US" w:eastAsia="zh-CN" w:bidi="ar-SA"/>
        </w:rPr>
      </w:pPr>
      <w:r>
        <w:rPr>
          <w:rFonts w:hint="eastAsia" w:ascii="仿宋_GB2312" w:hAnsi="仿宋_GB2312" w:eastAsia="仿宋_GB2312" w:cs="仿宋_GB2312"/>
          <w:b w:val="0"/>
          <w:bCs w:val="0"/>
          <w:i w:val="0"/>
          <w:kern w:val="2"/>
          <w:sz w:val="32"/>
          <w:szCs w:val="32"/>
          <w:highlight w:val="none"/>
          <w:lang w:val="en-US" w:eastAsia="zh-CN" w:bidi="ar-SA"/>
        </w:rPr>
        <w:t>完成提升行政执法质量三年行动计划终期评估。组织开展规范涉企行政执法专项行动，全面系统排查涉企行政执法领域突出问题，切实保护企业合法权益。2件行政执法案例分别获评2024年度上海市行政执法“十大案例”和指导案例，评选发布我区2024年度行政执法“十大案例”和指导案例，以典型案例示范带动严格规范公正文明执法。组织全区30家行政执法单位100名行政执法人员参与法律知识抽查考试，通过率逐年提升。深化市统一综合执法系统运用，依托系统开展行政执法效能评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楷体_GB2312" w:hAnsi="楷体_GB2312" w:eastAsia="楷体_GB2312" w:cs="楷体_GB2312"/>
          <w:b/>
          <w:bCs/>
          <w:i w:val="0"/>
          <w:sz w:val="32"/>
          <w:szCs w:val="32"/>
          <w:highlight w:val="none"/>
          <w:lang w:eastAsia="zh-CN"/>
        </w:rPr>
      </w:pPr>
      <w:r>
        <w:rPr>
          <w:rFonts w:hint="eastAsia" w:ascii="楷体_GB2312" w:hAnsi="楷体_GB2312" w:eastAsia="楷体_GB2312" w:cs="楷体_GB2312"/>
          <w:b/>
          <w:bCs/>
          <w:i w:val="0"/>
          <w:kern w:val="2"/>
          <w:sz w:val="32"/>
          <w:szCs w:val="32"/>
          <w:lang w:val="en-US" w:eastAsia="zh-CN" w:bidi="ar-SA"/>
        </w:rPr>
        <w:t>（六）加强</w:t>
      </w:r>
      <w:r>
        <w:rPr>
          <w:rFonts w:hint="eastAsia" w:ascii="楷体_GB2312" w:hAnsi="楷体_GB2312" w:eastAsia="楷体_GB2312" w:cs="楷体_GB2312"/>
          <w:b/>
          <w:bCs/>
          <w:i w:val="0"/>
          <w:sz w:val="32"/>
          <w:szCs w:val="32"/>
          <w:highlight w:val="none"/>
          <w:lang w:eastAsia="zh-CN"/>
        </w:rPr>
        <w:t>行政权力制约监督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仿宋_GB2312" w:cs="仿宋_GB2312"/>
          <w:b w:val="0"/>
          <w:bCs w:val="0"/>
          <w:i w:val="0"/>
          <w:sz w:val="32"/>
          <w:szCs w:val="32"/>
          <w:highlight w:val="none"/>
          <w:lang w:eastAsia="zh-CN"/>
        </w:rPr>
      </w:pPr>
      <w:r>
        <w:rPr>
          <w:rFonts w:hint="eastAsia" w:ascii="仿宋_GB2312" w:hAnsi="仿宋_GB2312" w:eastAsia="仿宋_GB2312" w:cs="仿宋_GB2312"/>
          <w:b w:val="0"/>
          <w:bCs w:val="0"/>
          <w:i w:val="0"/>
          <w:kern w:val="2"/>
          <w:sz w:val="32"/>
          <w:szCs w:val="32"/>
          <w:highlight w:val="none"/>
          <w:lang w:val="en-US" w:eastAsia="zh-CN" w:bidi="ar-SA"/>
        </w:rPr>
        <w:t>推进《</w:t>
      </w:r>
      <w:r>
        <w:rPr>
          <w:rFonts w:hint="eastAsia" w:ascii="仿宋_GB2312" w:hAnsi="仿宋_GB2312" w:eastAsia="仿宋_GB2312" w:cs="仿宋_GB2312"/>
          <w:b w:val="0"/>
          <w:bCs w:val="0"/>
          <w:i w:val="0"/>
          <w:sz w:val="32"/>
          <w:szCs w:val="32"/>
          <w:highlight w:val="none"/>
          <w:lang w:eastAsia="zh-CN"/>
        </w:rPr>
        <w:t>202</w:t>
      </w:r>
      <w:r>
        <w:rPr>
          <w:rFonts w:hint="eastAsia" w:ascii="仿宋_GB2312" w:hAnsi="仿宋_GB2312" w:eastAsia="仿宋_GB2312" w:cs="仿宋_GB2312"/>
          <w:b w:val="0"/>
          <w:bCs w:val="0"/>
          <w:i w:val="0"/>
          <w:sz w:val="32"/>
          <w:szCs w:val="32"/>
          <w:highlight w:val="none"/>
          <w:lang w:val="en-US" w:eastAsia="zh-CN"/>
        </w:rPr>
        <w:t>5</w:t>
      </w:r>
      <w:r>
        <w:rPr>
          <w:rFonts w:hint="eastAsia" w:ascii="仿宋_GB2312" w:hAnsi="仿宋_GB2312" w:eastAsia="仿宋_GB2312" w:cs="仿宋_GB2312"/>
          <w:b w:val="0"/>
          <w:bCs w:val="0"/>
          <w:i w:val="0"/>
          <w:sz w:val="32"/>
          <w:szCs w:val="32"/>
          <w:highlight w:val="none"/>
          <w:lang w:eastAsia="zh-CN"/>
        </w:rPr>
        <w:t>年上海市长宁区行政执法监督工作计划》，组织开展</w:t>
      </w:r>
      <w:r>
        <w:rPr>
          <w:rFonts w:hint="eastAsia" w:ascii="仿宋_GB2312" w:hAnsi="仿宋_GB2312" w:eastAsia="仿宋_GB2312" w:cs="仿宋_GB2312"/>
          <w:b w:val="0"/>
          <w:bCs w:val="0"/>
          <w:i w:val="0"/>
          <w:sz w:val="32"/>
          <w:szCs w:val="32"/>
          <w:highlight w:val="none"/>
          <w:lang w:val="en-US" w:eastAsia="zh-CN"/>
        </w:rPr>
        <w:t>行政执法</w:t>
      </w:r>
      <w:r>
        <w:rPr>
          <w:rFonts w:hint="eastAsia" w:ascii="仿宋_GB2312" w:hAnsi="仿宋_GB2312" w:eastAsia="仿宋_GB2312" w:cs="仿宋_GB2312"/>
          <w:b w:val="0"/>
          <w:bCs w:val="0"/>
          <w:i w:val="0"/>
          <w:sz w:val="32"/>
          <w:szCs w:val="32"/>
          <w:highlight w:val="none"/>
          <w:lang w:eastAsia="zh-CN"/>
        </w:rPr>
        <w:t>案卷评查，评查</w:t>
      </w:r>
      <w:r>
        <w:rPr>
          <w:rFonts w:hint="eastAsia" w:ascii="仿宋_GB2312" w:hAnsi="仿宋_GB2312" w:eastAsia="仿宋_GB2312" w:cs="仿宋_GB2312"/>
          <w:b w:val="0"/>
          <w:bCs w:val="0"/>
          <w:i w:val="0"/>
          <w:sz w:val="32"/>
          <w:szCs w:val="32"/>
          <w:highlight w:val="none"/>
          <w:lang w:val="en-US" w:eastAsia="zh-CN"/>
        </w:rPr>
        <w:t>180</w:t>
      </w:r>
      <w:r>
        <w:rPr>
          <w:rFonts w:hint="eastAsia" w:ascii="仿宋_GB2312" w:hAnsi="仿宋_GB2312" w:eastAsia="仿宋_GB2312" w:cs="仿宋_GB2312"/>
          <w:b w:val="0"/>
          <w:bCs w:val="0"/>
          <w:i w:val="0"/>
          <w:sz w:val="32"/>
          <w:szCs w:val="32"/>
          <w:highlight w:val="none"/>
          <w:lang w:eastAsia="zh-CN"/>
        </w:rPr>
        <w:t>份行政执法案卷，评查出问题</w:t>
      </w:r>
      <w:r>
        <w:rPr>
          <w:rFonts w:hint="eastAsia" w:ascii="仿宋_GB2312" w:hAnsi="仿宋_GB2312" w:eastAsia="仿宋_GB2312" w:cs="仿宋_GB2312"/>
          <w:b w:val="0"/>
          <w:bCs w:val="0"/>
          <w:i w:val="0"/>
          <w:sz w:val="32"/>
          <w:szCs w:val="32"/>
          <w:highlight w:val="none"/>
          <w:lang w:val="en-US" w:eastAsia="zh-CN"/>
        </w:rPr>
        <w:t>6</w:t>
      </w:r>
      <w:r>
        <w:rPr>
          <w:rFonts w:hint="eastAsia" w:ascii="仿宋_GB2312" w:hAnsi="仿宋_GB2312" w:eastAsia="仿宋_GB2312" w:cs="仿宋_GB2312"/>
          <w:b w:val="0"/>
          <w:bCs w:val="0"/>
          <w:i w:val="0"/>
          <w:sz w:val="32"/>
          <w:szCs w:val="32"/>
          <w:highlight w:val="none"/>
          <w:lang w:eastAsia="zh-CN"/>
        </w:rPr>
        <w:t>项，并落实整改措施。</w:t>
      </w:r>
      <w:r>
        <w:rPr>
          <w:rFonts w:hint="eastAsia" w:ascii="仿宋_GB2312" w:hAnsi="仿宋_GB2312" w:eastAsia="仿宋_GB2312" w:cs="仿宋_GB2312"/>
          <w:b w:val="0"/>
          <w:bCs w:val="0"/>
          <w:sz w:val="32"/>
          <w:szCs w:val="32"/>
          <w:lang w:val="en-US" w:eastAsia="zh-CN"/>
        </w:rPr>
        <w:t>充分发挥行政复议化解行政争议主渠道作用，全年共收到各类行政复议申请</w:t>
      </w:r>
      <w:r>
        <w:rPr>
          <w:rFonts w:hint="eastAsia" w:ascii="仿宋_GB2312" w:hAnsi="仿宋_GB2312" w:eastAsia="仿宋_GB2312" w:cs="仿宋_GB2312"/>
          <w:b w:val="0"/>
          <w:bCs w:val="0"/>
          <w:sz w:val="32"/>
          <w:szCs w:val="32"/>
          <w:highlight w:val="none"/>
          <w:lang w:val="en-US" w:eastAsia="zh-CN"/>
        </w:rPr>
        <w:t>2874件，案前调解率和案中调解率分别为62.2%、21.9%，</w:t>
      </w:r>
      <w:r>
        <w:rPr>
          <w:rFonts w:hint="eastAsia" w:ascii="仿宋_GB2312" w:hAnsi="仿宋_GB2312" w:eastAsia="仿宋_GB2312" w:cs="仿宋_GB2312"/>
          <w:b w:val="0"/>
          <w:bCs w:val="0"/>
          <w:sz w:val="32"/>
          <w:szCs w:val="32"/>
          <w:lang w:val="en-US" w:eastAsia="zh-CN"/>
        </w:rPr>
        <w:t>综合调解率排名全市前列</w:t>
      </w:r>
      <w:r>
        <w:rPr>
          <w:rFonts w:hint="eastAsia" w:ascii="仿宋_GB2312" w:hAnsi="仿宋_GB2312" w:eastAsia="仿宋_GB2312" w:cs="仿宋_GB2312"/>
          <w:b w:val="0"/>
          <w:bCs w:val="0"/>
          <w:i w:val="0"/>
          <w:sz w:val="32"/>
          <w:szCs w:val="32"/>
          <w:highlight w:val="none"/>
          <w:lang w:eastAsia="zh-CN"/>
        </w:rPr>
        <w:t>。</w:t>
      </w:r>
      <w:r>
        <w:rPr>
          <w:rFonts w:hint="eastAsia" w:ascii="仿宋_GB2312" w:hAnsi="仿宋_GB2312" w:eastAsia="仿宋_GB2312" w:cs="仿宋_GB2312"/>
          <w:b w:val="0"/>
          <w:bCs w:val="0"/>
          <w:i w:val="0"/>
          <w:sz w:val="32"/>
          <w:szCs w:val="32"/>
          <w:highlight w:val="none"/>
          <w:lang w:val="en-US" w:eastAsia="zh-CN"/>
        </w:rPr>
        <w:t>9月，</w:t>
      </w:r>
      <w:r>
        <w:rPr>
          <w:rFonts w:hint="eastAsia" w:ascii="仿宋_GB2312" w:hAnsi="仿宋_GB2312" w:eastAsia="仿宋_GB2312" w:cs="仿宋_GB2312"/>
          <w:color w:val="auto"/>
          <w:sz w:val="32"/>
          <w:szCs w:val="32"/>
          <w:highlight w:val="none"/>
          <w:u w:val="none"/>
          <w:lang w:eastAsia="zh-CN"/>
        </w:rPr>
        <w:t>开展行政机关负责人出庭、旁听、讲评“三合一”活动，区长出席并讲话。全年累计开展</w:t>
      </w:r>
      <w:r>
        <w:rPr>
          <w:rFonts w:hint="eastAsia" w:ascii="仿宋_GB2312" w:hAnsi="仿宋_GB2312" w:eastAsia="仿宋_GB2312" w:cs="仿宋_GB2312"/>
          <w:color w:val="auto"/>
          <w:sz w:val="32"/>
          <w:szCs w:val="32"/>
          <w:highlight w:val="none"/>
          <w:u w:val="none"/>
          <w:lang w:val="en-US" w:eastAsia="zh-CN"/>
        </w:rPr>
        <w:t>四次行政诉讼</w:t>
      </w:r>
      <w:r>
        <w:rPr>
          <w:rFonts w:hint="eastAsia" w:ascii="仿宋_GB2312" w:hAnsi="仿宋_GB2312" w:eastAsia="仿宋_GB2312" w:cs="仿宋_GB2312"/>
          <w:color w:val="auto"/>
          <w:sz w:val="32"/>
          <w:szCs w:val="32"/>
          <w:highlight w:val="none"/>
          <w:u w:val="none"/>
          <w:lang w:eastAsia="zh-CN"/>
        </w:rPr>
        <w:t>出庭、旁听、讲评“三合一”活动。副区长代表区政府出庭应诉</w:t>
      </w:r>
      <w:r>
        <w:rPr>
          <w:rFonts w:hint="eastAsia" w:ascii="仿宋_GB2312" w:hAnsi="仿宋_GB2312" w:eastAsia="仿宋_GB2312" w:cs="仿宋_GB2312"/>
          <w:color w:val="auto"/>
          <w:sz w:val="32"/>
          <w:szCs w:val="32"/>
          <w:highlight w:val="none"/>
          <w:u w:val="none"/>
          <w:lang w:val="en-US" w:eastAsia="zh-CN"/>
        </w:rPr>
        <w:t>5起案件。</w:t>
      </w:r>
      <w:r>
        <w:rPr>
          <w:rFonts w:hint="eastAsia" w:ascii="仿宋_GB2312" w:hAnsi="仿宋_GB2312" w:eastAsia="仿宋_GB2312" w:cs="仿宋_GB2312"/>
          <w:color w:val="auto"/>
          <w:sz w:val="32"/>
          <w:szCs w:val="32"/>
          <w:highlight w:val="none"/>
          <w:u w:val="none"/>
          <w:lang w:eastAsia="zh-CN"/>
        </w:rPr>
        <w:t>行政机关负责人出庭应诉率达</w:t>
      </w:r>
      <w:r>
        <w:rPr>
          <w:rFonts w:hint="eastAsia" w:ascii="仿宋_GB2312" w:hAnsi="仿宋_GB2312" w:eastAsia="仿宋_GB2312" w:cs="仿宋_GB2312"/>
          <w:color w:val="auto"/>
          <w:sz w:val="32"/>
          <w:szCs w:val="32"/>
          <w:highlight w:val="none"/>
          <w:u w:val="none"/>
          <w:lang w:val="en-US" w:eastAsia="zh-CN"/>
        </w:rPr>
        <w:t>100%。</w:t>
      </w:r>
      <w:r>
        <w:rPr>
          <w:rFonts w:hint="eastAsia" w:ascii="仿宋_GB2312" w:hAnsi="仿宋_GB2312" w:eastAsia="仿宋_GB2312" w:cs="仿宋_GB2312"/>
          <w:b w:val="0"/>
          <w:bCs w:val="0"/>
          <w:i w:val="0"/>
          <w:sz w:val="32"/>
          <w:szCs w:val="32"/>
          <w:highlight w:val="none"/>
          <w:lang w:eastAsia="zh-CN"/>
        </w:rPr>
        <w:t>丰富政民互动形式，组织“政府开放月”系列活动47场，线下参与超4000人次、线上直播观看量达2.3万余人次。</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ascii="楷体_GB2312" w:hAnsi="楷体_GB2312" w:eastAsia="楷体_GB2312" w:cs="楷体_GB2312"/>
          <w:b/>
          <w:bCs/>
          <w:i w:val="0"/>
          <w:kern w:val="2"/>
          <w:sz w:val="32"/>
          <w:szCs w:val="32"/>
          <w:highlight w:val="none"/>
          <w:lang w:val="en-US" w:eastAsia="zh-CN" w:bidi="ar-SA"/>
        </w:rPr>
      </w:pPr>
      <w:r>
        <w:rPr>
          <w:rFonts w:hint="eastAsia" w:ascii="楷体_GB2312" w:hAnsi="楷体_GB2312" w:eastAsia="楷体_GB2312" w:cs="楷体_GB2312"/>
          <w:b/>
          <w:bCs/>
          <w:i w:val="0"/>
          <w:kern w:val="2"/>
          <w:sz w:val="32"/>
          <w:szCs w:val="32"/>
          <w:lang w:val="en-US" w:eastAsia="zh-CN" w:bidi="ar-SA"/>
        </w:rPr>
        <w:t>（七）完善</w:t>
      </w:r>
      <w:r>
        <w:rPr>
          <w:rFonts w:hint="eastAsia" w:ascii="楷体_GB2312" w:hAnsi="楷体_GB2312" w:eastAsia="楷体_GB2312" w:cs="楷体_GB2312"/>
          <w:b/>
          <w:bCs/>
          <w:i w:val="0"/>
          <w:kern w:val="2"/>
          <w:sz w:val="32"/>
          <w:szCs w:val="32"/>
          <w:highlight w:val="none"/>
          <w:lang w:val="en-US" w:eastAsia="zh-CN" w:bidi="ar-SA"/>
        </w:rPr>
        <w:t>社会依法治理新格局</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rPr>
          <w:rFonts w:hint="eastAsia" w:cs="仿宋_GB2312"/>
          <w:b w:val="0"/>
          <w:bCs w:val="0"/>
          <w:i w:val="0"/>
          <w:kern w:val="2"/>
          <w:sz w:val="32"/>
          <w:szCs w:val="32"/>
          <w:highlight w:val="none"/>
          <w:lang w:val="en-US" w:eastAsia="zh-CN" w:bidi="ar-SA"/>
        </w:rPr>
      </w:pPr>
      <w:r>
        <w:rPr>
          <w:rFonts w:hint="eastAsia" w:ascii="仿宋_GB2312" w:hAnsi="仿宋_GB2312" w:eastAsia="仿宋_GB2312" w:cs="仿宋_GB2312"/>
          <w:b w:val="0"/>
          <w:bCs w:val="0"/>
          <w:i w:val="0"/>
          <w:kern w:val="2"/>
          <w:sz w:val="32"/>
          <w:szCs w:val="32"/>
          <w:highlight w:val="none"/>
          <w:lang w:val="en-US" w:eastAsia="zh-CN" w:bidi="ar-SA"/>
        </w:rPr>
        <w:t>坚持和发展新时代“枫桥经验”，深化推广“三所联动3+N”机制</w:t>
      </w:r>
      <w:r>
        <w:rPr>
          <w:rFonts w:hint="eastAsia" w:cs="仿宋_GB2312"/>
          <w:b w:val="0"/>
          <w:bCs w:val="0"/>
          <w:i w:val="0"/>
          <w:kern w:val="2"/>
          <w:sz w:val="32"/>
          <w:szCs w:val="32"/>
          <w:highlight w:val="none"/>
          <w:lang w:val="en-US" w:eastAsia="zh-CN" w:bidi="ar-SA"/>
        </w:rPr>
        <w:t>，</w:t>
      </w:r>
      <w:r>
        <w:rPr>
          <w:rFonts w:hint="eastAsia" w:cs="仿宋_GB2312"/>
          <w:b w:val="0"/>
          <w:bCs w:val="0"/>
          <w:sz w:val="32"/>
          <w:szCs w:val="32"/>
          <w:lang w:val="en-US" w:eastAsia="zh-CN"/>
        </w:rPr>
        <w:t>全年</w:t>
      </w:r>
      <w:r>
        <w:rPr>
          <w:rFonts w:hint="eastAsia" w:cs="仿宋_GB2312"/>
          <w:b w:val="0"/>
          <w:bCs w:val="0"/>
          <w:i w:val="0"/>
          <w:kern w:val="2"/>
          <w:sz w:val="32"/>
          <w:szCs w:val="32"/>
          <w:highlight w:val="none"/>
          <w:lang w:val="en-US" w:eastAsia="zh-CN" w:bidi="ar-SA"/>
        </w:rPr>
        <w:t>共受理各类民间纠纷</w:t>
      </w:r>
      <w:r>
        <w:rPr>
          <w:rFonts w:hint="eastAsia" w:ascii="仿宋_GB2312" w:hAnsi="仿宋_GB2312" w:eastAsia="仿宋_GB2312" w:cs="仿宋_GB2312"/>
          <w:sz w:val="32"/>
          <w:szCs w:val="32"/>
          <w:lang w:val="en-US" w:eastAsia="zh-CN"/>
        </w:rPr>
        <w:t>25201</w:t>
      </w:r>
      <w:r>
        <w:rPr>
          <w:rFonts w:hint="eastAsia" w:cs="仿宋_GB2312"/>
          <w:b w:val="0"/>
          <w:bCs w:val="0"/>
          <w:i w:val="0"/>
          <w:kern w:val="2"/>
          <w:sz w:val="32"/>
          <w:szCs w:val="32"/>
          <w:highlight w:val="none"/>
          <w:lang w:val="en-US" w:eastAsia="zh-CN" w:bidi="ar-SA"/>
        </w:rPr>
        <w:t>件，成功调解</w:t>
      </w:r>
      <w:r>
        <w:rPr>
          <w:rFonts w:hint="eastAsia" w:ascii="仿宋_GB2312" w:hAnsi="仿宋_GB2312" w:eastAsia="仿宋_GB2312" w:cs="仿宋_GB2312"/>
          <w:sz w:val="32"/>
          <w:szCs w:val="32"/>
          <w:lang w:val="en-US" w:eastAsia="zh-CN"/>
        </w:rPr>
        <w:t>22378</w:t>
      </w:r>
      <w:r>
        <w:rPr>
          <w:rFonts w:hint="eastAsia" w:cs="仿宋_GB2312"/>
          <w:b w:val="0"/>
          <w:bCs w:val="0"/>
          <w:i w:val="0"/>
          <w:kern w:val="2"/>
          <w:sz w:val="32"/>
          <w:szCs w:val="32"/>
          <w:highlight w:val="none"/>
          <w:lang w:val="en-US" w:eastAsia="zh-CN" w:bidi="ar-SA"/>
        </w:rPr>
        <w:t>件，调解成功率为88.8%。发布解纷专家库首批名单及2024年“三所联动”</w:t>
      </w:r>
      <w:r>
        <w:rPr>
          <w:rFonts w:hint="eastAsia" w:ascii="仿宋_GB2312" w:hAnsi="仿宋_GB2312" w:eastAsia="仿宋_GB2312" w:cs="仿宋_GB2312"/>
          <w:b w:val="0"/>
          <w:bCs w:val="0"/>
          <w:i w:val="0"/>
          <w:kern w:val="2"/>
          <w:sz w:val="32"/>
          <w:szCs w:val="32"/>
          <w:highlight w:val="none"/>
          <w:lang w:val="en-US" w:eastAsia="zh-CN" w:bidi="ar-SA"/>
        </w:rPr>
        <w:t>典型案例</w:t>
      </w:r>
      <w:r>
        <w:rPr>
          <w:rFonts w:hint="eastAsia" w:cs="仿宋_GB2312"/>
          <w:b w:val="0"/>
          <w:bCs w:val="0"/>
          <w:i w:val="0"/>
          <w:kern w:val="2"/>
          <w:sz w:val="32"/>
          <w:szCs w:val="32"/>
          <w:highlight w:val="none"/>
          <w:lang w:val="en-US" w:eastAsia="zh-CN" w:bidi="ar-SA"/>
        </w:rPr>
        <w:t>。探索建立全市首个互联网知识产权线上纠纷调解平台“虹桥智和”。全国首个健身行业“公证提存”预付费监管模式向更多领域拓展。深化公共法律服务体系建设，依托“宁宁AI法”多语种、多模态公共法律服务数字人，持续丰富个性化法律服务供给，打造群众身边的“法律服务数智管家”。推动“三横三纵”公共法律服务网络优化升级，持续做强“效律办”“解纷一件事”、智慧听证、智慧公证等“数智”法律服务。</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sz w:val="32"/>
          <w:szCs w:val="32"/>
          <w:highlight w:val="none"/>
          <w:u w:val="none"/>
          <w:lang w:val="en-US" w:eastAsia="zh-CN"/>
        </w:rPr>
        <w:t>二</w:t>
      </w:r>
      <w:r>
        <w:rPr>
          <w:rFonts w:hint="eastAsia" w:ascii="黑体" w:hAnsi="黑体" w:eastAsia="黑体" w:cs="黑体"/>
          <w:color w:val="auto"/>
          <w:sz w:val="32"/>
          <w:szCs w:val="32"/>
          <w:highlight w:val="none"/>
          <w:u w:val="none"/>
          <w:lang w:eastAsia="zh-CN"/>
        </w:rPr>
        <w:t>、存在的不足及原因</w:t>
      </w:r>
    </w:p>
    <w:p>
      <w:pPr>
        <w:pStyle w:val="2"/>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rPr>
          <w:rFonts w:hint="eastAsia" w:ascii="仿宋_GB2312" w:eastAsia="仿宋_GB2312" w:cs="仿宋_GB2312"/>
          <w:b w:val="0"/>
          <w:bCs w:val="0"/>
          <w:i w:val="0"/>
          <w:caps w:val="0"/>
          <w:color w:val="000000"/>
          <w:spacing w:val="0"/>
          <w:w w:val="100"/>
          <w:sz w:val="32"/>
          <w:szCs w:val="32"/>
          <w:shd w:val="clear" w:color="auto" w:fill="FFFFFF"/>
          <w:lang w:val="en-US" w:eastAsia="zh-CN"/>
        </w:rPr>
      </w:pPr>
      <w:r>
        <w:rPr>
          <w:rFonts w:hint="eastAsia" w:ascii="仿宋_GB2312" w:eastAsia="仿宋_GB2312" w:cs="仿宋_GB2312"/>
          <w:b w:val="0"/>
          <w:bCs w:val="0"/>
          <w:i w:val="0"/>
          <w:caps w:val="0"/>
          <w:color w:val="000000"/>
          <w:spacing w:val="0"/>
          <w:w w:val="100"/>
          <w:sz w:val="32"/>
          <w:szCs w:val="32"/>
          <w:shd w:val="clear" w:color="auto" w:fill="FFFFFF"/>
          <w:lang w:val="en-US" w:eastAsia="zh-CN"/>
        </w:rPr>
        <w:t>一是法治政府建设仍需持续深入推进。在数字法治政府建设、法治化营商环境建设、</w:t>
      </w:r>
      <w:r>
        <w:rPr>
          <w:rFonts w:hint="eastAsia" w:ascii="仿宋_GB2312" w:hAnsi="仿宋_GB2312" w:eastAsia="仿宋_GB2312" w:cs="仿宋_GB2312"/>
          <w:b w:val="0"/>
          <w:bCs w:val="0"/>
          <w:color w:val="auto"/>
          <w:spacing w:val="0"/>
          <w:sz w:val="32"/>
          <w:szCs w:val="32"/>
          <w:u w:val="none" w:color="auto"/>
          <w:lang w:val="en-US" w:eastAsia="zh-CN"/>
        </w:rPr>
        <w:t>跨部门跨领域综合监管等方面</w:t>
      </w:r>
      <w:r>
        <w:rPr>
          <w:rFonts w:hint="eastAsia" w:ascii="仿宋_GB2312" w:eastAsia="仿宋_GB2312" w:cs="仿宋_GB2312"/>
          <w:b w:val="0"/>
          <w:bCs w:val="0"/>
          <w:i w:val="0"/>
          <w:caps w:val="0"/>
          <w:color w:val="000000"/>
          <w:spacing w:val="0"/>
          <w:w w:val="100"/>
          <w:sz w:val="32"/>
          <w:szCs w:val="32"/>
          <w:shd w:val="clear" w:color="auto" w:fill="FFFFFF"/>
          <w:lang w:eastAsia="zh-CN"/>
        </w:rPr>
        <w:t>需持续发力，形成更多具有</w:t>
      </w:r>
      <w:r>
        <w:rPr>
          <w:rFonts w:hint="eastAsia" w:ascii="仿宋_GB2312" w:eastAsia="仿宋_GB2312" w:cs="仿宋_GB2312"/>
          <w:b w:val="0"/>
          <w:bCs w:val="0"/>
          <w:i w:val="0"/>
          <w:caps w:val="0"/>
          <w:color w:val="000000"/>
          <w:spacing w:val="0"/>
          <w:w w:val="100"/>
          <w:sz w:val="32"/>
          <w:szCs w:val="32"/>
          <w:shd w:val="clear" w:color="auto" w:fill="FFFFFF"/>
          <w:lang w:val="en-US" w:eastAsia="zh-CN"/>
        </w:rPr>
        <w:t>长宁</w:t>
      </w:r>
      <w:r>
        <w:rPr>
          <w:rFonts w:hint="eastAsia" w:ascii="仿宋_GB2312" w:eastAsia="仿宋_GB2312" w:cs="仿宋_GB2312"/>
          <w:b w:val="0"/>
          <w:bCs w:val="0"/>
          <w:i w:val="0"/>
          <w:caps w:val="0"/>
          <w:color w:val="000000"/>
          <w:spacing w:val="0"/>
          <w:w w:val="100"/>
          <w:sz w:val="32"/>
          <w:szCs w:val="32"/>
          <w:shd w:val="clear" w:color="auto" w:fill="FFFFFF"/>
          <w:lang w:eastAsia="zh-CN"/>
        </w:rPr>
        <w:t>特色的亮点工作。</w:t>
      </w:r>
      <w:r>
        <w:rPr>
          <w:rFonts w:hint="eastAsia" w:ascii="仿宋_GB2312" w:eastAsia="仿宋_GB2312" w:cs="仿宋_GB2312"/>
          <w:b w:val="0"/>
          <w:bCs w:val="0"/>
          <w:i w:val="0"/>
          <w:caps w:val="0"/>
          <w:color w:val="000000"/>
          <w:spacing w:val="0"/>
          <w:w w:val="100"/>
          <w:sz w:val="32"/>
          <w:szCs w:val="32"/>
          <w:shd w:val="clear" w:color="auto" w:fill="FFFFFF"/>
          <w:lang w:val="en-US" w:eastAsia="zh-CN"/>
        </w:rPr>
        <w:t>二是综合行政执法体制改革仍需进一步深化。执法信息共享机制有待健全，行政执法条块间统筹协调、部门间协作有待加强。三是行政执法质量和效能仍需进一步提升。重点领域执法工作仍需进一步加强，柔性监管方式需进一步深化运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eastAsia" w:ascii="黑体" w:hAnsi="黑体" w:eastAsia="黑体" w:cs="黑体"/>
          <w:color w:val="auto"/>
          <w:sz w:val="32"/>
          <w:szCs w:val="32"/>
          <w:highlight w:val="none"/>
          <w:u w:val="none"/>
          <w:lang w:eastAsia="zh-CN"/>
        </w:rPr>
      </w:pPr>
      <w:r>
        <w:rPr>
          <w:rFonts w:hint="eastAsia" w:ascii="黑体" w:hAnsi="黑体" w:eastAsia="黑体" w:cs="黑体"/>
          <w:color w:val="auto"/>
          <w:kern w:val="2"/>
          <w:sz w:val="32"/>
          <w:szCs w:val="32"/>
          <w:lang w:val="en-US" w:eastAsia="zh-CN" w:bidi="ar-SA"/>
        </w:rPr>
        <w:t>三、</w:t>
      </w:r>
      <w:r>
        <w:rPr>
          <w:rFonts w:hint="eastAsia" w:ascii="黑体" w:hAnsi="黑体" w:eastAsia="黑体" w:cs="黑体"/>
          <w:color w:val="auto"/>
          <w:sz w:val="32"/>
          <w:szCs w:val="32"/>
          <w:highlight w:val="none"/>
          <w:u w:val="none"/>
          <w:lang w:eastAsia="zh-CN"/>
        </w:rPr>
        <w:t>履行推进法治政府建设第一责任人职责情况</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eastAsia="zh-CN"/>
        </w:rPr>
        <w:t>（一）高位统筹效能持续提高</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仿宋_GB2312" w:cs="仿宋_GB2312"/>
          <w:bCs/>
          <w:color w:val="auto"/>
          <w:kern w:val="2"/>
          <w:sz w:val="32"/>
          <w:szCs w:val="32"/>
          <w:highlight w:val="none"/>
          <w:u w:val="none"/>
          <w:lang w:val="en-US" w:eastAsia="zh-CN" w:bidi="ar-SA"/>
        </w:rPr>
      </w:pPr>
      <w:r>
        <w:rPr>
          <w:rFonts w:hint="eastAsia" w:ascii="仿宋_GB2312" w:hAnsi="仿宋_GB2312" w:eastAsia="仿宋_GB2312" w:cs="仿宋_GB2312"/>
          <w:bCs/>
          <w:color w:val="auto"/>
          <w:kern w:val="2"/>
          <w:sz w:val="32"/>
          <w:szCs w:val="32"/>
          <w:highlight w:val="none"/>
          <w:u w:val="none"/>
          <w:lang w:val="en-US" w:eastAsia="zh-CN" w:bidi="ar-SA"/>
        </w:rPr>
        <w:t>区委、区政府主要领导坚决贯彻落实市委、市政府关于法治政府建设的决策部署和工作要求，全年牵头召开2次区委依法治区委员会会议，区政府常务会议先后听取政务服务、规范性文件和重大行政决策制订等重点工作。</w:t>
      </w:r>
      <w:r>
        <w:rPr>
          <w:rFonts w:hint="eastAsia" w:ascii="仿宋_GB2312" w:hAnsi="仿宋_GB2312" w:eastAsia="仿宋_GB2312" w:cs="仿宋_GB2312"/>
          <w:b w:val="0"/>
          <w:bCs w:val="0"/>
          <w:w w:val="100"/>
          <w:sz w:val="32"/>
          <w:szCs w:val="32"/>
          <w:highlight w:val="none"/>
          <w:lang w:val="en-US" w:eastAsia="zh-CN"/>
        </w:rPr>
        <w:t>制定实施《2025年法治政府建设工作要点和责任分工》并做好督促指导。</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eastAsia="zh-CN"/>
        </w:rPr>
        <w:t>示范引领作用充分彰显</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持续开展局处两级党委（党组）理论中心组常态学法，今年以来，共邀请法治专家作深入学习贯彻习近平法治思想，优化法治化营商环境专题辅导2次。深入推进领导干部带头讲法、带头述法，22家单位党政主要负责人完成口头和书面专题述法，实现党政负责人专题述法全覆盖。</w:t>
      </w:r>
      <w:bookmarkStart w:id="0" w:name="_GoBack"/>
      <w:bookmarkEnd w:id="0"/>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32" w:firstLineChars="200"/>
        <w:jc w:val="both"/>
        <w:textAlignment w:val="auto"/>
        <w:outlineLvl w:val="9"/>
        <w:rPr>
          <w:rFonts w:hint="eastAsia" w:ascii="楷体_GB2312" w:hAnsi="楷体_GB2312" w:eastAsia="楷体_GB2312" w:cs="楷体_GB2312"/>
          <w:b/>
          <w:bCs/>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eastAsia="zh-CN"/>
        </w:rPr>
        <w:t>依法行政效能显著提升</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仿宋_GB2312" w:cs="仿宋_GB2312"/>
          <w:b w:val="0"/>
          <w:bCs w:val="0"/>
          <w:color w:val="auto"/>
          <w:sz w:val="32"/>
          <w:szCs w:val="32"/>
          <w:highlight w:val="none"/>
          <w:u w:val="none"/>
          <w:lang w:eastAsia="zh-CN"/>
        </w:rPr>
      </w:pPr>
      <w:r>
        <w:rPr>
          <w:rFonts w:hint="eastAsia" w:ascii="仿宋_GB2312" w:hAnsi="仿宋_GB2312" w:eastAsia="仿宋_GB2312" w:cs="仿宋_GB2312"/>
          <w:b w:val="0"/>
          <w:bCs w:val="0"/>
          <w:color w:val="auto"/>
          <w:sz w:val="32"/>
          <w:szCs w:val="32"/>
          <w:highlight w:val="none"/>
          <w:u w:val="none"/>
          <w:lang w:val="en-US" w:eastAsia="zh-CN"/>
        </w:rPr>
        <w:t>区政府领导专题会议研究部署规范涉企行政检查工作并多次作出批示指示，推动涉企执法检查提质增效，切实减少对企业正常生产经营的干扰。强化督察与法治考核、年度述法等协同联动，聚焦法治营商、涉企检查等重点工作，以“实地+调研+书面”形式对16家单位开展专项法治督察。</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四、2026年推进法治政府建设的主要安排</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一是持续深入学习贯彻习近平法治思想。</w:t>
      </w:r>
      <w:r>
        <w:rPr>
          <w:rFonts w:hint="eastAsia" w:ascii="仿宋_GB2312" w:hAnsi="仿宋_GB2312" w:eastAsia="仿宋_GB2312" w:cs="仿宋_GB2312"/>
          <w:b w:val="0"/>
          <w:bCs w:val="0"/>
          <w:color w:val="auto"/>
          <w:sz w:val="32"/>
          <w:szCs w:val="32"/>
          <w:lang w:val="en-US" w:eastAsia="zh-CN"/>
        </w:rPr>
        <w:t>进一步压实党政主要负责人履行推进法治建设第一责任人职责，将习近平法治思想作为业务培训必训内容。</w:t>
      </w:r>
      <w:r>
        <w:rPr>
          <w:rFonts w:hint="eastAsia" w:ascii="仿宋_GB2312" w:hAnsi="仿宋_GB2312" w:eastAsia="仿宋_GB2312" w:cs="仿宋_GB2312"/>
          <w:b w:val="0"/>
          <w:bCs w:val="0"/>
          <w:snapToGrid w:val="0"/>
          <w:color w:val="auto"/>
          <w:spacing w:val="0"/>
          <w:kern w:val="2"/>
          <w:sz w:val="32"/>
          <w:szCs w:val="32"/>
          <w:highlight w:val="none"/>
          <w:u w:val="none" w:color="auto"/>
          <w:lang w:val="en-US" w:eastAsia="zh-CN" w:bidi="ar-SA"/>
        </w:rPr>
        <w:t>继续加强学习宣传教育，弘扬法治精神，树立法治权威，普及法律知识，推动各级领导干部做尊法学法守法用法的模范。</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二是持续统筹推进法治政府建设。</w:t>
      </w:r>
      <w:r>
        <w:rPr>
          <w:rFonts w:hint="eastAsia" w:ascii="仿宋_GB2312" w:hAnsi="仿宋_GB2312" w:eastAsia="仿宋_GB2312" w:cs="仿宋_GB2312"/>
          <w:color w:val="auto"/>
          <w:sz w:val="32"/>
          <w:szCs w:val="32"/>
          <w:lang w:val="en-US" w:eastAsia="zh-CN"/>
        </w:rPr>
        <w:t>全面推进数字法治政府建设，推动各部门法治政府建设充分、均衡、协调发展。强化行政许可标准化建设，加强行政备案事项规范管理。深化“一业一证”改革，完善行业综合许可制度。强化事前、事中、事后全链条全领域监管，推动政务服务智慧精准、公平可及。申报创建全国法治政府建设示范区，建立健全新一轮法治政府示范创建常态长效机制。</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三是持续优化法治化营商环境。</w:t>
      </w:r>
      <w:r>
        <w:rPr>
          <w:rFonts w:hint="eastAsia" w:ascii="仿宋_GB2312" w:hAnsi="仿宋_GB2312" w:eastAsia="仿宋_GB2312" w:cs="仿宋_GB2312"/>
          <w:color w:val="auto"/>
          <w:sz w:val="32"/>
          <w:szCs w:val="32"/>
          <w:lang w:val="en-US" w:eastAsia="zh-CN"/>
        </w:rPr>
        <w:t>推广“一址两用”等首创性改革成果，持续提升企业登记服务水平。全面推进虹桥企业出海总部集聚区、</w:t>
      </w:r>
      <w:r>
        <w:rPr>
          <w:rFonts w:hint="eastAsia" w:ascii="仿宋_GB2312" w:hAnsi="仿宋_GB2312" w:eastAsia="仿宋_GB2312" w:cs="仿宋_GB2312"/>
          <w:b w:val="0"/>
          <w:bCs/>
          <w:color w:val="auto"/>
          <w:kern w:val="2"/>
          <w:sz w:val="32"/>
          <w:szCs w:val="32"/>
          <w:u w:val="none"/>
          <w:lang w:val="en-US" w:eastAsia="zh-CN" w:bidi="ar-SA"/>
        </w:rPr>
        <w:t>虹桥国际中央法务区联动创新区</w:t>
      </w:r>
      <w:r>
        <w:rPr>
          <w:rFonts w:hint="eastAsia" w:ascii="仿宋_GB2312" w:hAnsi="仿宋_GB2312" w:eastAsia="仿宋_GB2312" w:cs="仿宋_GB2312"/>
          <w:color w:val="auto"/>
          <w:sz w:val="32"/>
          <w:szCs w:val="32"/>
          <w:lang w:val="en-US" w:eastAsia="zh-CN"/>
        </w:rPr>
        <w:t>建设，做强上海市企业走出去综合服务平台（长宁）分平台等功能，助力更多企业出海拓展市场。加大涉企行政检查统筹力度，全面落实“无感监管”对象清单和“无事不扰”事项清单。</w:t>
      </w:r>
    </w:p>
    <w:p>
      <w:pPr>
        <w:keepNext w:val="0"/>
        <w:keepLines w:val="0"/>
        <w:pageBreakBefore w:val="0"/>
        <w:widowControl w:val="0"/>
        <w:kinsoku/>
        <w:wordWrap/>
        <w:overflowPunct/>
        <w:topLinePunct w:val="0"/>
        <w:autoSpaceDE/>
        <w:autoSpaceDN/>
        <w:bidi w:val="0"/>
        <w:adjustRightInd/>
        <w:snapToGrid/>
        <w:spacing w:line="560" w:lineRule="exact"/>
        <w:ind w:firstLine="632" w:firstLineChars="200"/>
        <w:jc w:val="both"/>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四是持续推进严格规范公正文明执法。</w:t>
      </w:r>
      <w:r>
        <w:rPr>
          <w:rFonts w:hint="eastAsia" w:ascii="仿宋_GB2312" w:hAnsi="仿宋_GB2312" w:eastAsia="仿宋_GB2312" w:cs="仿宋_GB2312"/>
          <w:b w:val="0"/>
          <w:bCs w:val="0"/>
          <w:color w:val="auto"/>
          <w:sz w:val="32"/>
          <w:szCs w:val="32"/>
          <w:lang w:val="en-US" w:eastAsia="zh-CN"/>
        </w:rPr>
        <w:t>深化综合执法体制改革，加强对街镇综合行政执法工作的指导、监督。健全执法工作协调机制，</w:t>
      </w:r>
      <w:r>
        <w:rPr>
          <w:rFonts w:ascii="仿宋_GB2312" w:hAnsi="宋体" w:eastAsia="仿宋_GB2312" w:cs="仿宋_GB2312"/>
          <w:color w:val="000000"/>
          <w:kern w:val="0"/>
          <w:sz w:val="31"/>
          <w:szCs w:val="31"/>
          <w:lang w:val="en-US" w:eastAsia="zh-CN" w:bidi="ar"/>
        </w:rPr>
        <w:t>加强执法部门与行业主管部门</w:t>
      </w:r>
      <w:r>
        <w:rPr>
          <w:rFonts w:hint="eastAsia" w:ascii="仿宋_GB2312" w:hAnsi="宋体" w:eastAsia="仿宋_GB2312" w:cs="仿宋_GB2312"/>
          <w:color w:val="000000"/>
          <w:kern w:val="0"/>
          <w:sz w:val="31"/>
          <w:szCs w:val="31"/>
          <w:lang w:val="en-US" w:eastAsia="zh-CN" w:bidi="ar"/>
        </w:rPr>
        <w:t>的协同联动。</w:t>
      </w:r>
      <w:r>
        <w:rPr>
          <w:rFonts w:hint="eastAsia" w:ascii="仿宋_GB2312" w:hAnsi="仿宋_GB2312" w:eastAsia="仿宋_GB2312" w:cs="仿宋_GB2312"/>
          <w:b w:val="0"/>
          <w:bCs w:val="0"/>
          <w:color w:val="auto"/>
          <w:sz w:val="32"/>
          <w:szCs w:val="32"/>
          <w:lang w:val="en-US" w:eastAsia="zh-CN"/>
        </w:rPr>
        <w:t>加大安全生产、生态环境、食品安全等重点领域执法力度，切实维护公共安全和人民群众生命财产安全。</w:t>
      </w:r>
    </w:p>
    <w:p>
      <w:pPr>
        <w:keepNext w:val="0"/>
        <w:keepLines w:val="0"/>
        <w:pageBreakBefore w:val="0"/>
        <w:widowControl w:val="0"/>
        <w:numPr>
          <w:ilvl w:val="0"/>
          <w:numId w:val="0"/>
        </w:numPr>
        <w:pBdr>
          <w:bottom w:val="none" w:color="auto" w:sz="0" w:space="0"/>
        </w:pBdr>
        <w:kinsoku/>
        <w:wordWrap/>
        <w:overflowPunct/>
        <w:topLinePunct w:val="0"/>
        <w:bidi w:val="0"/>
        <w:adjustRightInd/>
        <w:snapToGrid/>
        <w:spacing w:line="560" w:lineRule="exact"/>
        <w:ind w:firstLine="632" w:firstLineChars="200"/>
        <w:jc w:val="both"/>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五是持续加强行政权力制约监督。</w:t>
      </w:r>
      <w:r>
        <w:rPr>
          <w:rFonts w:hint="eastAsia" w:ascii="仿宋_GB2312" w:hAnsi="仿宋_GB2312" w:eastAsia="仿宋_GB2312" w:cs="仿宋_GB2312"/>
          <w:b w:val="0"/>
          <w:bCs w:val="0"/>
          <w:color w:val="auto"/>
          <w:spacing w:val="0"/>
          <w:sz w:val="32"/>
          <w:szCs w:val="32"/>
          <w:lang w:val="en-US" w:eastAsia="zh-CN"/>
        </w:rPr>
        <w:t>优化政策全流程管理，统筹推进政策发布、解读、推送、集成、阅办联动、咨询及政社合作等环节，保障政策有效落实。</w:t>
      </w:r>
      <w:r>
        <w:rPr>
          <w:rFonts w:hint="eastAsia" w:ascii="仿宋_GB2312" w:hAnsi="仿宋_GB2312" w:eastAsia="仿宋_GB2312" w:cs="仿宋_GB2312"/>
          <w:b w:val="0"/>
          <w:bCs w:val="0"/>
          <w:color w:val="auto"/>
          <w:spacing w:val="0"/>
          <w:sz w:val="32"/>
          <w:szCs w:val="32"/>
          <w:lang w:eastAsia="zh-CN"/>
        </w:rPr>
        <w:t>继续</w:t>
      </w:r>
      <w:r>
        <w:rPr>
          <w:rFonts w:hint="eastAsia" w:ascii="仿宋_GB2312" w:hAnsi="仿宋_GB2312" w:eastAsia="仿宋_GB2312" w:cs="仿宋_GB2312"/>
          <w:b w:val="0"/>
          <w:bCs w:val="0"/>
          <w:color w:val="auto"/>
          <w:sz w:val="32"/>
          <w:szCs w:val="32"/>
        </w:rPr>
        <w:t>发挥行政复议化解行政争议主渠道作用</w:t>
      </w:r>
      <w:r>
        <w:rPr>
          <w:rFonts w:hint="eastAsia" w:ascii="仿宋_GB2312" w:hAnsi="仿宋_GB2312" w:eastAsia="仿宋_GB2312" w:cs="仿宋_GB2312"/>
          <w:b w:val="0"/>
          <w:bCs w:val="0"/>
          <w:color w:val="auto"/>
          <w:sz w:val="32"/>
          <w:szCs w:val="32"/>
          <w:lang w:val="en-US" w:eastAsia="zh-CN"/>
        </w:rPr>
        <w:t>，持续优化行政机关负责人出庭、旁听、讲评“三合一”工作。</w:t>
      </w:r>
    </w:p>
    <w:p/>
    <w:sectPr>
      <w:footerReference r:id="rId3" w:type="default"/>
      <w:pgSz w:w="11906" w:h="16838"/>
      <w:pgMar w:top="2098" w:right="1474" w:bottom="1984" w:left="1587" w:header="851" w:footer="1417"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2000000000000000000"/>
    <w:charset w:val="86"/>
    <w:family w:val="auto"/>
    <w:pitch w:val="default"/>
    <w:sig w:usb0="00000000" w:usb1="00000000" w:usb2="00000000" w:usb3="00000000" w:csb0="00040000" w:csb1="00000000"/>
  </w:font>
  <w:font w:name="DejaVu Sans">
    <w:altName w:val="Segoe Print"/>
    <w:panose1 w:val="020B0603030804020204"/>
    <w:charset w:val="00"/>
    <w:family w:val="roman"/>
    <w:pitch w:val="default"/>
    <w:sig w:usb0="00000000" w:usb1="00000000"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7A59A"/>
    <w:multiLevelType w:val="singleLevel"/>
    <w:tmpl w:val="D777A59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00063"/>
    <w:rsid w:val="011963E4"/>
    <w:rsid w:val="4F584759"/>
    <w:rsid w:val="55410F29"/>
    <w:rsid w:val="5BAC0472"/>
    <w:rsid w:val="7FF00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方正书宋_GBK" w:hAnsi="DejaVu Sans"/>
    </w:rPr>
  </w:style>
  <w:style w:type="paragraph" w:styleId="3">
    <w:name w:val="Body Text"/>
    <w:basedOn w:val="1"/>
    <w:next w:val="4"/>
    <w:qFormat/>
    <w:uiPriority w:val="0"/>
    <w:pPr>
      <w:widowControl w:val="0"/>
      <w:spacing w:line="360" w:lineRule="auto"/>
      <w:jc w:val="both"/>
    </w:pPr>
    <w:rPr>
      <w:rFonts w:ascii="仿宋_GB2312" w:hAnsi="仿宋_GB2312" w:eastAsia="仿宋_GB2312" w:cs="Times New Roman"/>
      <w:bCs/>
      <w:kern w:val="2"/>
      <w:sz w:val="28"/>
      <w:szCs w:val="28"/>
      <w:lang w:val="en-US" w:eastAsia="zh-CN" w:bidi="ar-SA"/>
    </w:rPr>
  </w:style>
  <w:style w:type="paragraph" w:styleId="4">
    <w:name w:val="Body Text First Indent"/>
    <w:basedOn w:val="3"/>
    <w:next w:val="5"/>
    <w:qFormat/>
    <w:uiPriority w:val="0"/>
    <w:pPr>
      <w:autoSpaceDE w:val="0"/>
      <w:autoSpaceDN w:val="0"/>
      <w:adjustRightInd w:val="0"/>
      <w:spacing w:line="600" w:lineRule="atLeast"/>
      <w:ind w:firstLine="652"/>
      <w:textAlignment w:val="baseline"/>
    </w:pPr>
    <w:rPr>
      <w:szCs w:val="3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2026-01-06T06:19:00Z</dcterms:created>
  <dc:creator>sfj</dc:creator>
  <cp:lastModifiedBy>sfj</cp:lastModifiedBy>
  <dcterms:modified xsi:type="dcterms:W3CDTF">2026-01-13T07:18:54Z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