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_GB2312" w:hAnsi="Calibri" w:eastAsia="仿宋_GB2312" w:cs="宋体"/>
          <w:kern w:val="0"/>
          <w:sz w:val="32"/>
          <w:szCs w:val="32"/>
          <w:lang w:eastAsia="zh-CN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  <w:lang w:eastAsia="zh-CN"/>
        </w:rPr>
        <w:t>附件</w:t>
      </w:r>
    </w:p>
    <w:p>
      <w:pPr>
        <w:pStyle w:val="2"/>
        <w:rPr>
          <w:rFonts w:hint="eastAsia"/>
          <w:lang w:eastAsia="zh-CN"/>
        </w:rPr>
      </w:pPr>
    </w:p>
    <w:p>
      <w:pPr>
        <w:spacing w:line="520" w:lineRule="exact"/>
        <w:jc w:val="center"/>
        <w:rPr>
          <w:rFonts w:hint="eastAsia" w:ascii="宋体" w:hAnsi="宋体" w:eastAsia="方正大标宋简体" w:cs="Times New Roman"/>
          <w:color w:val="auto"/>
          <w:sz w:val="44"/>
          <w:szCs w:val="44"/>
          <w:lang w:eastAsia="zh-CN"/>
        </w:rPr>
      </w:pPr>
      <w:r>
        <w:rPr>
          <w:rFonts w:hint="eastAsia" w:ascii="宋体" w:hAnsi="宋体" w:eastAsia="方正大标宋简体" w:cs="Times New Roman"/>
          <w:color w:val="auto"/>
          <w:sz w:val="44"/>
          <w:szCs w:val="44"/>
          <w:lang w:eastAsia="zh-CN"/>
        </w:rPr>
        <w:t>长宁区城市更新项目土地供应和价款的</w:t>
      </w:r>
    </w:p>
    <w:p>
      <w:pPr>
        <w:spacing w:line="520" w:lineRule="exact"/>
        <w:jc w:val="center"/>
        <w:rPr>
          <w:rFonts w:hint="eastAsia" w:ascii="宋体" w:hAnsi="宋体" w:eastAsia="方正大标宋简体" w:cs="Times New Roman"/>
          <w:color w:val="auto"/>
          <w:sz w:val="44"/>
          <w:szCs w:val="44"/>
          <w:lang w:eastAsia="zh-CN"/>
        </w:rPr>
      </w:pPr>
      <w:r>
        <w:rPr>
          <w:rFonts w:hint="eastAsia" w:ascii="宋体" w:hAnsi="宋体" w:eastAsia="方正大标宋简体" w:cs="Times New Roman"/>
          <w:color w:val="auto"/>
          <w:sz w:val="44"/>
          <w:szCs w:val="44"/>
          <w:lang w:eastAsia="zh-CN"/>
        </w:rPr>
        <w:t>若干规定（试行）</w:t>
      </w:r>
    </w:p>
    <w:p>
      <w:pPr>
        <w:jc w:val="center"/>
        <w:rPr>
          <w:rFonts w:ascii="仿宋" w:hAnsi="仿宋" w:eastAsia="仿宋"/>
          <w:sz w:val="32"/>
        </w:rPr>
      </w:pPr>
    </w:p>
    <w:p>
      <w:pPr>
        <w:spacing w:line="560" w:lineRule="exact"/>
        <w:ind w:firstLine="640" w:firstLineChars="200"/>
        <w:rPr>
          <w:rFonts w:hint="eastAsia" w:ascii="仿宋_GB2312" w:hAnsi="Calibri" w:eastAsia="仿宋_GB2312" w:cs="宋体"/>
          <w:kern w:val="0"/>
          <w:sz w:val="32"/>
          <w:szCs w:val="32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</w:rPr>
        <w:t>为践行“人民城市”重要理念，深入推进长宁区城市更新工作，加快建设“四力四城”，提升城区能级和竞争力，结合长宁区实际情况，对城市更新存量补地价项目的土地供应，制定本办法。</w:t>
      </w:r>
    </w:p>
    <w:p>
      <w:pPr>
        <w:spacing w:line="560" w:lineRule="exact"/>
        <w:ind w:firstLine="640" w:firstLineChars="200"/>
        <w:rPr>
          <w:rFonts w:hint="eastAsia" w:ascii="仿宋_GB2312" w:hAnsi="Calibri" w:eastAsia="仿宋_GB2312" w:cs="宋体"/>
          <w:kern w:val="0"/>
          <w:sz w:val="32"/>
          <w:szCs w:val="32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</w:rPr>
        <w:t>依据《上海市城市更新条例》第四十一条“鼓励在符合法律规定的前提下，创新土地供应政策，激发市场主体参与城市更新活动的积极性”</w:t>
      </w:r>
      <w:r>
        <w:rPr>
          <w:rFonts w:hint="eastAsia" w:ascii="仿宋_GB2312" w:hAnsi="Calibri" w:eastAsia="仿宋_GB2312" w:cs="宋体"/>
          <w:kern w:val="0"/>
          <w:sz w:val="32"/>
          <w:szCs w:val="32"/>
          <w:lang w:eastAsia="zh-CN"/>
        </w:rPr>
        <w:t>；</w:t>
      </w:r>
      <w:r>
        <w:rPr>
          <w:rFonts w:hint="eastAsia" w:ascii="仿宋_GB2312" w:hAnsi="Calibri" w:eastAsia="仿宋_GB2312" w:cs="宋体"/>
          <w:kern w:val="0"/>
          <w:sz w:val="32"/>
          <w:szCs w:val="32"/>
        </w:rPr>
        <w:t>《上海市城市更新指引》第九条“区人民政府负责细化制定区级城市更新相关政策文件和工作机制，包括土地价款确定规则等内容”，第三十条“城市更新项目通过存量补地价方式实施涉及补缴土地价款的，委托土地评估机构进行市场评估，并经区人民政府集体决策后确定。”“区人民政府集体决策可综合考虑相关产业政策、土地利用情况、公共要素贡献等因素。”长宁区人民政府可依据本办法，经过集体决策程序后，进行城市更新项目的土地供应和价款确定。</w:t>
      </w:r>
    </w:p>
    <w:p>
      <w:pPr>
        <w:spacing w:line="560" w:lineRule="exact"/>
        <w:ind w:firstLine="640" w:firstLineChars="200"/>
        <w:rPr>
          <w:rFonts w:hint="eastAsia" w:ascii="宋体" w:hAnsi="宋体" w:eastAsia="黑体" w:cs="Times New Roman"/>
          <w:color w:val="auto"/>
          <w:sz w:val="32"/>
          <w:szCs w:val="32"/>
        </w:rPr>
      </w:pPr>
      <w:r>
        <w:rPr>
          <w:rFonts w:hint="eastAsia" w:ascii="宋体" w:hAnsi="宋体" w:eastAsia="黑体" w:cs="Times New Roman"/>
          <w:color w:val="auto"/>
          <w:sz w:val="32"/>
          <w:szCs w:val="32"/>
        </w:rPr>
        <w:t>一、适用范围</w:t>
      </w:r>
    </w:p>
    <w:p>
      <w:pPr>
        <w:spacing w:line="560" w:lineRule="exact"/>
        <w:ind w:firstLine="640" w:firstLineChars="200"/>
        <w:rPr>
          <w:rFonts w:hint="eastAsia" w:ascii="仿宋_GB2312" w:hAnsi="Calibri" w:eastAsia="仿宋_GB2312" w:cs="宋体"/>
          <w:kern w:val="0"/>
          <w:sz w:val="32"/>
          <w:szCs w:val="32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</w:rPr>
        <w:t>位于长宁区范围内，城市更新实施方案已经区政府认定的城市更新项目。</w:t>
      </w:r>
    </w:p>
    <w:p>
      <w:pPr>
        <w:spacing w:line="560" w:lineRule="exact"/>
        <w:ind w:firstLine="640" w:firstLineChars="200"/>
        <w:rPr>
          <w:rFonts w:hint="eastAsia" w:ascii="宋体" w:hAnsi="宋体" w:eastAsia="黑体" w:cs="Times New Roman"/>
          <w:color w:val="auto"/>
          <w:sz w:val="32"/>
          <w:szCs w:val="32"/>
        </w:rPr>
      </w:pPr>
      <w:r>
        <w:rPr>
          <w:rFonts w:hint="eastAsia" w:ascii="宋体" w:hAnsi="宋体" w:eastAsia="黑体" w:cs="Times New Roman"/>
          <w:color w:val="auto"/>
          <w:sz w:val="32"/>
          <w:szCs w:val="32"/>
        </w:rPr>
        <w:t>二、确定原则</w:t>
      </w:r>
    </w:p>
    <w:p>
      <w:pPr>
        <w:spacing w:line="560" w:lineRule="exact"/>
        <w:ind w:firstLine="640" w:firstLineChars="200"/>
        <w:rPr>
          <w:rFonts w:hint="eastAsia" w:ascii="仿宋_GB2312" w:hAnsi="Calibri" w:eastAsia="仿宋_GB2312" w:cs="宋体"/>
          <w:kern w:val="0"/>
          <w:sz w:val="32"/>
          <w:szCs w:val="32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</w:rPr>
        <w:t>区政府集体决策时重点考虑城市更新项目在以下三个方面的因素：</w:t>
      </w:r>
    </w:p>
    <w:p>
      <w:pPr>
        <w:spacing w:line="560" w:lineRule="exact"/>
        <w:ind w:firstLine="640" w:firstLineChars="200"/>
        <w:rPr>
          <w:rFonts w:hint="eastAsia" w:ascii="仿宋_GB2312" w:hAnsi="Calibri" w:eastAsia="仿宋_GB2312" w:cs="宋体"/>
          <w:kern w:val="0"/>
          <w:sz w:val="32"/>
          <w:szCs w:val="32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</w:rPr>
        <w:t>1、位于市级或区级认定的重点区域内，并对市、区城市更新推进具有突出的示范性和引领度。</w:t>
      </w:r>
    </w:p>
    <w:p>
      <w:pPr>
        <w:spacing w:line="560" w:lineRule="exact"/>
        <w:ind w:firstLine="640" w:firstLineChars="200"/>
        <w:rPr>
          <w:rFonts w:hint="eastAsia" w:ascii="仿宋_GB2312" w:hAnsi="Calibri" w:eastAsia="仿宋_GB2312" w:cs="宋体"/>
          <w:kern w:val="0"/>
          <w:sz w:val="32"/>
          <w:szCs w:val="32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</w:rPr>
        <w:t>2、在推进产业转型升级，吸引相关产业集聚，增加税收和就业机会等方面有突出贡献，对提升地区发展能力和经济吸引力具有显著带动作用。</w:t>
      </w:r>
    </w:p>
    <w:p>
      <w:pPr>
        <w:spacing w:line="560" w:lineRule="exact"/>
        <w:ind w:firstLine="640" w:firstLineChars="200"/>
        <w:rPr>
          <w:rFonts w:hint="eastAsia" w:ascii="仿宋_GB2312" w:hAnsi="Calibri" w:eastAsia="仿宋_GB2312" w:cs="宋体"/>
          <w:kern w:val="0"/>
          <w:sz w:val="32"/>
          <w:szCs w:val="32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</w:rPr>
        <w:t>3、对提升地区职住平衡、优化公共服务、改善环境品质、保护历史风貌和建设十五分钟社区生活圈有突出贡献。</w:t>
      </w:r>
    </w:p>
    <w:p>
      <w:pPr>
        <w:spacing w:line="560" w:lineRule="exact"/>
        <w:ind w:firstLine="640" w:firstLineChars="200"/>
        <w:rPr>
          <w:rFonts w:hint="eastAsia" w:ascii="宋体" w:hAnsi="宋体" w:eastAsia="黑体" w:cs="Times New Roman"/>
          <w:color w:val="auto"/>
          <w:sz w:val="32"/>
          <w:szCs w:val="32"/>
        </w:rPr>
      </w:pPr>
      <w:r>
        <w:rPr>
          <w:rFonts w:hint="eastAsia" w:ascii="宋体" w:hAnsi="宋体" w:eastAsia="黑体" w:cs="Times New Roman"/>
          <w:color w:val="auto"/>
          <w:sz w:val="32"/>
          <w:szCs w:val="32"/>
        </w:rPr>
        <w:t>三、确定比例</w:t>
      </w:r>
    </w:p>
    <w:p>
      <w:pPr>
        <w:spacing w:line="560" w:lineRule="exact"/>
        <w:ind w:firstLine="640" w:firstLineChars="200"/>
        <w:rPr>
          <w:rFonts w:hint="eastAsia" w:ascii="仿宋_GB2312" w:hAnsi="Calibri" w:eastAsia="仿宋_GB2312" w:cs="宋体"/>
          <w:kern w:val="0"/>
          <w:sz w:val="32"/>
          <w:szCs w:val="32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</w:rPr>
        <w:t>参照《协议出让国有土地使用权规定》第五条“有基准地价的地区，协议出让最低价不得低于出让地块所在级别基准地价的70%”，区政府确定的土地价款不低于评估价格的70%。</w:t>
      </w:r>
    </w:p>
    <w:p>
      <w:pPr>
        <w:spacing w:line="560" w:lineRule="exact"/>
        <w:ind w:firstLine="640" w:firstLineChars="200"/>
        <w:rPr>
          <w:rFonts w:hint="eastAsia" w:ascii="宋体" w:hAnsi="宋体" w:eastAsia="黑体" w:cs="Times New Roman"/>
          <w:color w:val="auto"/>
          <w:sz w:val="32"/>
          <w:szCs w:val="32"/>
        </w:rPr>
      </w:pPr>
      <w:r>
        <w:rPr>
          <w:rFonts w:hint="eastAsia" w:ascii="宋体" w:hAnsi="宋体" w:eastAsia="黑体" w:cs="Times New Roman"/>
          <w:color w:val="auto"/>
          <w:sz w:val="32"/>
          <w:szCs w:val="32"/>
        </w:rPr>
        <w:t>四、操作流程</w:t>
      </w:r>
    </w:p>
    <w:p>
      <w:pPr>
        <w:spacing w:line="560" w:lineRule="exact"/>
        <w:ind w:firstLine="640" w:firstLineChars="200"/>
        <w:rPr>
          <w:rFonts w:hint="eastAsia" w:ascii="仿宋_GB2312" w:hAnsi="Calibri" w:eastAsia="仿宋_GB2312" w:cs="宋体"/>
          <w:kern w:val="0"/>
          <w:sz w:val="32"/>
          <w:szCs w:val="32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</w:rPr>
        <w:t>更新项目主体根据项目情况提交申请材料，区土地收储和出让领导小组办公室会同相关部门对材料进行审核，拟定土地供应方案，报区土地收储和出让领导小组集体决策。</w:t>
      </w:r>
    </w:p>
    <w:p>
      <w:pPr>
        <w:spacing w:line="560" w:lineRule="exact"/>
        <w:ind w:firstLine="640" w:firstLineChars="200"/>
        <w:rPr>
          <w:rFonts w:hint="eastAsia" w:ascii="宋体" w:hAnsi="宋体" w:eastAsia="黑体" w:cs="Times New Roman"/>
          <w:color w:val="auto"/>
          <w:sz w:val="32"/>
          <w:szCs w:val="32"/>
        </w:rPr>
      </w:pPr>
      <w:r>
        <w:rPr>
          <w:rFonts w:hint="eastAsia" w:ascii="宋体" w:hAnsi="宋体" w:eastAsia="黑体" w:cs="Times New Roman"/>
          <w:color w:val="auto"/>
          <w:sz w:val="32"/>
          <w:szCs w:val="32"/>
        </w:rPr>
        <w:t>五、监管措施</w:t>
      </w:r>
    </w:p>
    <w:p>
      <w:pPr>
        <w:spacing w:line="560" w:lineRule="exact"/>
        <w:ind w:firstLine="640" w:firstLineChars="200"/>
        <w:rPr>
          <w:rFonts w:hint="eastAsia" w:ascii="仿宋_GB2312" w:hAnsi="Calibri" w:eastAsia="仿宋_GB2312" w:cs="宋体"/>
          <w:kern w:val="0"/>
          <w:sz w:val="32"/>
          <w:szCs w:val="32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</w:rPr>
        <w:t>城市更新项目纳入土地全生命周期管理，各更新要素由相关职能部门全程监管。</w:t>
      </w:r>
    </w:p>
    <w:p>
      <w:pPr>
        <w:pStyle w:val="2"/>
        <w:ind w:firstLine="640"/>
        <w:rPr>
          <w:rFonts w:hint="eastAsia" w:ascii="宋体" w:hAnsi="宋体" w:eastAsia="黑体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黑体" w:cs="Times New Roman"/>
          <w:color w:val="auto"/>
          <w:kern w:val="2"/>
          <w:sz w:val="32"/>
          <w:szCs w:val="32"/>
          <w:lang w:val="en-US" w:eastAsia="zh-CN" w:bidi="ar-SA"/>
        </w:rPr>
        <w:t>六、时效</w:t>
      </w:r>
    </w:p>
    <w:p>
      <w:pPr>
        <w:pStyle w:val="2"/>
        <w:ind w:firstLine="640"/>
        <w:rPr>
          <w:rFonts w:hint="eastAsia" w:ascii="仿宋_GB2312" w:hAnsi="Calibri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Calibri" w:eastAsia="仿宋_GB2312" w:cs="宋体"/>
          <w:kern w:val="0"/>
          <w:sz w:val="32"/>
          <w:szCs w:val="32"/>
          <w:lang w:val="en-US" w:eastAsia="zh-CN" w:bidi="ar-SA"/>
        </w:rPr>
        <w:t>本规定自发文之日起施行</w:t>
      </w:r>
      <w:bookmarkStart w:id="0" w:name="_GoBack"/>
      <w:bookmarkEnd w:id="0"/>
      <w:r>
        <w:rPr>
          <w:rFonts w:hint="eastAsia" w:ascii="仿宋_GB2312" w:hAnsi="Calibri" w:eastAsia="仿宋_GB2312" w:cs="宋体"/>
          <w:kern w:val="0"/>
          <w:sz w:val="32"/>
          <w:szCs w:val="32"/>
          <w:lang w:val="en-US" w:eastAsia="zh-CN" w:bidi="ar-SA"/>
        </w:rPr>
        <w:t>，有效期两年。</w:t>
      </w:r>
    </w:p>
    <w:sectPr>
      <w:footerReference r:id="rId3" w:type="default"/>
      <w:pgSz w:w="11906" w:h="16838"/>
      <w:pgMar w:top="1984" w:right="1474" w:bottom="1814" w:left="1814" w:header="851" w:footer="992" w:gutter="0"/>
      <w:pgNumType w:fmt="decimal"/>
      <w:cols w:space="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Courier New">
    <w:altName w:val="DejaVu Sans"/>
    <w:panose1 w:val="02070309020205020404"/>
    <w:charset w:val="01"/>
    <w:family w:val="modern"/>
    <w:pitch w:val="default"/>
    <w:sig w:usb0="00000000" w:usb1="00000000" w:usb2="00000009" w:usb3="00000000" w:csb0="400001FF" w:csb1="FFFF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大标宋简体">
    <w:altName w:val="方正书宋_GBK"/>
    <w:panose1 w:val="02010601030101010101"/>
    <w:charset w:val="00"/>
    <w:family w:val="auto"/>
    <w:pitch w:val="default"/>
    <w:sig w:usb0="00000000" w:usb1="00000000" w:usb2="0000001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方正黑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Cb0gwvFQIAABM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val="en-US" w:eastAsia="zh-CN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FgAAAGRycy9QSwECFAAUAAAACACHTuJAs0lY7tAAAAAF&#10;AQAADwAAAAAAAAABACAAAAA4AAAAZHJzL2Rvd25yZXYueG1sUEsBAhQAFAAAAAgAh07iQPpO5poO&#10;AgAABwQAAA4AAAAAAAAAAQAgAAAANQEAAGRycy9lMm9Eb2MueG1sUEsFBgAAAAAGAAYAWQEAALUF&#10;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val="en-US" w:eastAsia="zh-CN"/>
                      </w:rPr>
                    </w:pPr>
                    <w:r>
                      <w:rPr>
                        <w:rFonts w:hint="eastAsia"/>
                        <w:sz w:val="18"/>
                        <w:lang w:val="en-US" w:eastAsia="zh-CN"/>
                      </w:rPr>
                      <w:t xml:space="preserve">    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AFD"/>
    <w:rsid w:val="00002147"/>
    <w:rsid w:val="00011D65"/>
    <w:rsid w:val="00014DA9"/>
    <w:rsid w:val="00014E9C"/>
    <w:rsid w:val="00016D8C"/>
    <w:rsid w:val="000305C5"/>
    <w:rsid w:val="000417EF"/>
    <w:rsid w:val="00045CC1"/>
    <w:rsid w:val="000532AD"/>
    <w:rsid w:val="0008708E"/>
    <w:rsid w:val="00095988"/>
    <w:rsid w:val="000A45A9"/>
    <w:rsid w:val="000D63D8"/>
    <w:rsid w:val="000D70D3"/>
    <w:rsid w:val="00104748"/>
    <w:rsid w:val="001059E5"/>
    <w:rsid w:val="00142BF3"/>
    <w:rsid w:val="001518BF"/>
    <w:rsid w:val="00153454"/>
    <w:rsid w:val="00156C99"/>
    <w:rsid w:val="00157AE4"/>
    <w:rsid w:val="00172508"/>
    <w:rsid w:val="001742A4"/>
    <w:rsid w:val="001805B5"/>
    <w:rsid w:val="00182CF6"/>
    <w:rsid w:val="001B59C3"/>
    <w:rsid w:val="001C67F4"/>
    <w:rsid w:val="00223A71"/>
    <w:rsid w:val="0025081F"/>
    <w:rsid w:val="002624D7"/>
    <w:rsid w:val="002646B7"/>
    <w:rsid w:val="00270D5F"/>
    <w:rsid w:val="002726E8"/>
    <w:rsid w:val="00283E4C"/>
    <w:rsid w:val="0028477D"/>
    <w:rsid w:val="002A0AC1"/>
    <w:rsid w:val="002C00A4"/>
    <w:rsid w:val="002E53B1"/>
    <w:rsid w:val="00300E40"/>
    <w:rsid w:val="00304798"/>
    <w:rsid w:val="00306B93"/>
    <w:rsid w:val="003210B6"/>
    <w:rsid w:val="00332294"/>
    <w:rsid w:val="0036071D"/>
    <w:rsid w:val="0037194C"/>
    <w:rsid w:val="00374112"/>
    <w:rsid w:val="0039169B"/>
    <w:rsid w:val="00393B2C"/>
    <w:rsid w:val="00397F69"/>
    <w:rsid w:val="003A38ED"/>
    <w:rsid w:val="003B6110"/>
    <w:rsid w:val="003D60DD"/>
    <w:rsid w:val="003E050C"/>
    <w:rsid w:val="003E0C26"/>
    <w:rsid w:val="003E25DE"/>
    <w:rsid w:val="00422945"/>
    <w:rsid w:val="004258F8"/>
    <w:rsid w:val="004425B4"/>
    <w:rsid w:val="0045026B"/>
    <w:rsid w:val="004530BB"/>
    <w:rsid w:val="00463651"/>
    <w:rsid w:val="00471158"/>
    <w:rsid w:val="00473819"/>
    <w:rsid w:val="00481D36"/>
    <w:rsid w:val="004A0F77"/>
    <w:rsid w:val="004D130F"/>
    <w:rsid w:val="004D58C6"/>
    <w:rsid w:val="004E6656"/>
    <w:rsid w:val="004F6FB0"/>
    <w:rsid w:val="005009A9"/>
    <w:rsid w:val="0051031C"/>
    <w:rsid w:val="00522F61"/>
    <w:rsid w:val="00541D5A"/>
    <w:rsid w:val="00542A49"/>
    <w:rsid w:val="0055252B"/>
    <w:rsid w:val="00560EA6"/>
    <w:rsid w:val="0057471D"/>
    <w:rsid w:val="00581B62"/>
    <w:rsid w:val="00583756"/>
    <w:rsid w:val="00585A2A"/>
    <w:rsid w:val="005869CB"/>
    <w:rsid w:val="00590064"/>
    <w:rsid w:val="00596E8E"/>
    <w:rsid w:val="005A3C95"/>
    <w:rsid w:val="005D21E5"/>
    <w:rsid w:val="005D4E77"/>
    <w:rsid w:val="005D7C6F"/>
    <w:rsid w:val="00601027"/>
    <w:rsid w:val="006133FA"/>
    <w:rsid w:val="00627C0C"/>
    <w:rsid w:val="00650260"/>
    <w:rsid w:val="006762CC"/>
    <w:rsid w:val="006A0BD5"/>
    <w:rsid w:val="006A2968"/>
    <w:rsid w:val="006B198B"/>
    <w:rsid w:val="006E0DD6"/>
    <w:rsid w:val="006F5149"/>
    <w:rsid w:val="00711056"/>
    <w:rsid w:val="00712E6E"/>
    <w:rsid w:val="0071309B"/>
    <w:rsid w:val="00713B7C"/>
    <w:rsid w:val="00717BD2"/>
    <w:rsid w:val="00722278"/>
    <w:rsid w:val="0073047A"/>
    <w:rsid w:val="00751FEE"/>
    <w:rsid w:val="007567AD"/>
    <w:rsid w:val="00756F27"/>
    <w:rsid w:val="00757325"/>
    <w:rsid w:val="007628A2"/>
    <w:rsid w:val="00783787"/>
    <w:rsid w:val="00795680"/>
    <w:rsid w:val="007A4561"/>
    <w:rsid w:val="007B4E92"/>
    <w:rsid w:val="007B7994"/>
    <w:rsid w:val="007C36A3"/>
    <w:rsid w:val="007C51A5"/>
    <w:rsid w:val="007C7748"/>
    <w:rsid w:val="007D327C"/>
    <w:rsid w:val="007D3C6D"/>
    <w:rsid w:val="007E2068"/>
    <w:rsid w:val="007F132B"/>
    <w:rsid w:val="007F1A09"/>
    <w:rsid w:val="00821086"/>
    <w:rsid w:val="00830790"/>
    <w:rsid w:val="008507D7"/>
    <w:rsid w:val="00871D78"/>
    <w:rsid w:val="00873829"/>
    <w:rsid w:val="008760A5"/>
    <w:rsid w:val="008951DC"/>
    <w:rsid w:val="008955B5"/>
    <w:rsid w:val="008C6EC3"/>
    <w:rsid w:val="008C7424"/>
    <w:rsid w:val="009001F6"/>
    <w:rsid w:val="00914C0E"/>
    <w:rsid w:val="0091729F"/>
    <w:rsid w:val="00920E87"/>
    <w:rsid w:val="009258B9"/>
    <w:rsid w:val="00933FCC"/>
    <w:rsid w:val="009369FA"/>
    <w:rsid w:val="009521E6"/>
    <w:rsid w:val="00984928"/>
    <w:rsid w:val="009C6390"/>
    <w:rsid w:val="009D1BCF"/>
    <w:rsid w:val="009D37F3"/>
    <w:rsid w:val="009E18ED"/>
    <w:rsid w:val="009E7D60"/>
    <w:rsid w:val="009F5B5A"/>
    <w:rsid w:val="00A14148"/>
    <w:rsid w:val="00A41815"/>
    <w:rsid w:val="00A42B5C"/>
    <w:rsid w:val="00A70FBA"/>
    <w:rsid w:val="00A7295F"/>
    <w:rsid w:val="00A72F8A"/>
    <w:rsid w:val="00A746F2"/>
    <w:rsid w:val="00A83429"/>
    <w:rsid w:val="00A87007"/>
    <w:rsid w:val="00A94CEF"/>
    <w:rsid w:val="00A94E47"/>
    <w:rsid w:val="00A950F6"/>
    <w:rsid w:val="00AB334B"/>
    <w:rsid w:val="00AB547E"/>
    <w:rsid w:val="00AC4A64"/>
    <w:rsid w:val="00AD76D1"/>
    <w:rsid w:val="00AE52EA"/>
    <w:rsid w:val="00AE77D3"/>
    <w:rsid w:val="00AF0C41"/>
    <w:rsid w:val="00AF5D08"/>
    <w:rsid w:val="00B0615B"/>
    <w:rsid w:val="00B307F2"/>
    <w:rsid w:val="00B308BA"/>
    <w:rsid w:val="00B53A6C"/>
    <w:rsid w:val="00BA0B1B"/>
    <w:rsid w:val="00BA47DB"/>
    <w:rsid w:val="00BC6F41"/>
    <w:rsid w:val="00BD4501"/>
    <w:rsid w:val="00BF6057"/>
    <w:rsid w:val="00C16868"/>
    <w:rsid w:val="00C20C55"/>
    <w:rsid w:val="00C34EA7"/>
    <w:rsid w:val="00C50D3F"/>
    <w:rsid w:val="00C57921"/>
    <w:rsid w:val="00C95434"/>
    <w:rsid w:val="00C97411"/>
    <w:rsid w:val="00CA5A07"/>
    <w:rsid w:val="00CA5AE2"/>
    <w:rsid w:val="00CC18B8"/>
    <w:rsid w:val="00CC24AA"/>
    <w:rsid w:val="00CC6800"/>
    <w:rsid w:val="00CC6920"/>
    <w:rsid w:val="00CE58CB"/>
    <w:rsid w:val="00CF5F65"/>
    <w:rsid w:val="00CF6382"/>
    <w:rsid w:val="00D018C2"/>
    <w:rsid w:val="00D031A1"/>
    <w:rsid w:val="00D4260E"/>
    <w:rsid w:val="00D42A03"/>
    <w:rsid w:val="00D44956"/>
    <w:rsid w:val="00D51C1A"/>
    <w:rsid w:val="00D52AFD"/>
    <w:rsid w:val="00D5606E"/>
    <w:rsid w:val="00D61706"/>
    <w:rsid w:val="00D62D63"/>
    <w:rsid w:val="00D647AD"/>
    <w:rsid w:val="00D71275"/>
    <w:rsid w:val="00D767DA"/>
    <w:rsid w:val="00DA0A10"/>
    <w:rsid w:val="00DA4E32"/>
    <w:rsid w:val="00DA70A3"/>
    <w:rsid w:val="00DB4676"/>
    <w:rsid w:val="00DC099D"/>
    <w:rsid w:val="00DC4C44"/>
    <w:rsid w:val="00DC6B50"/>
    <w:rsid w:val="00DF1A13"/>
    <w:rsid w:val="00E26A2A"/>
    <w:rsid w:val="00E318FF"/>
    <w:rsid w:val="00E3546E"/>
    <w:rsid w:val="00E46DD9"/>
    <w:rsid w:val="00E530AD"/>
    <w:rsid w:val="00E74545"/>
    <w:rsid w:val="00E83C1A"/>
    <w:rsid w:val="00E942F0"/>
    <w:rsid w:val="00EA0647"/>
    <w:rsid w:val="00EA7FE4"/>
    <w:rsid w:val="00EB4937"/>
    <w:rsid w:val="00EB6FF7"/>
    <w:rsid w:val="00EC2CEF"/>
    <w:rsid w:val="00EC5689"/>
    <w:rsid w:val="00ED2C23"/>
    <w:rsid w:val="00EF04DB"/>
    <w:rsid w:val="00EF1E6B"/>
    <w:rsid w:val="00EF5405"/>
    <w:rsid w:val="00F0526C"/>
    <w:rsid w:val="00F225F4"/>
    <w:rsid w:val="00F27F8A"/>
    <w:rsid w:val="00F6108F"/>
    <w:rsid w:val="00F7179D"/>
    <w:rsid w:val="00F9448D"/>
    <w:rsid w:val="00FA1029"/>
    <w:rsid w:val="00FB7958"/>
    <w:rsid w:val="00FD1AE1"/>
    <w:rsid w:val="00FE7104"/>
    <w:rsid w:val="00FF12EE"/>
    <w:rsid w:val="00FF4ADB"/>
    <w:rsid w:val="0D450E43"/>
    <w:rsid w:val="0DBE7917"/>
    <w:rsid w:val="0DF71149"/>
    <w:rsid w:val="0F3B759C"/>
    <w:rsid w:val="1D1F6210"/>
    <w:rsid w:val="20445586"/>
    <w:rsid w:val="2FF31CA1"/>
    <w:rsid w:val="31746F6D"/>
    <w:rsid w:val="323E4487"/>
    <w:rsid w:val="3BE61E29"/>
    <w:rsid w:val="3FF55DC2"/>
    <w:rsid w:val="4303077F"/>
    <w:rsid w:val="4941EC58"/>
    <w:rsid w:val="4E9663F9"/>
    <w:rsid w:val="5BFBED5B"/>
    <w:rsid w:val="6A8A0554"/>
    <w:rsid w:val="70DD08FB"/>
    <w:rsid w:val="71B133A8"/>
    <w:rsid w:val="727C17D9"/>
    <w:rsid w:val="C97760D8"/>
    <w:rsid w:val="E7FDB8AF"/>
    <w:rsid w:val="F67D47C7"/>
    <w:rsid w:val="F7F7B9D4"/>
    <w:rsid w:val="FDFB92BD"/>
    <w:rsid w:val="FEE5CD3B"/>
    <w:rsid w:val="FF9B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6">
    <w:name w:val="annotation subject"/>
    <w:basedOn w:val="7"/>
    <w:next w:val="7"/>
    <w:link w:val="24"/>
    <w:unhideWhenUsed/>
    <w:qFormat/>
    <w:uiPriority w:val="99"/>
    <w:rPr>
      <w:b/>
      <w:bCs/>
    </w:rPr>
  </w:style>
  <w:style w:type="paragraph" w:styleId="7">
    <w:name w:val="annotation text"/>
    <w:basedOn w:val="1"/>
    <w:link w:val="23"/>
    <w:unhideWhenUsed/>
    <w:qFormat/>
    <w:uiPriority w:val="99"/>
    <w:pPr>
      <w:jc w:val="left"/>
    </w:pPr>
  </w:style>
  <w:style w:type="paragraph" w:styleId="8">
    <w:name w:val="Balloon Text"/>
    <w:basedOn w:val="1"/>
    <w:link w:val="18"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character" w:styleId="13">
    <w:name w:val="annotation reference"/>
    <w:basedOn w:val="12"/>
    <w:unhideWhenUsed/>
    <w:qFormat/>
    <w:uiPriority w:val="99"/>
    <w:rPr>
      <w:sz w:val="21"/>
      <w:szCs w:val="21"/>
    </w:rPr>
  </w:style>
  <w:style w:type="paragraph" w:customStyle="1" w:styleId="15">
    <w:name w:val="列出段落1"/>
    <w:basedOn w:val="1"/>
    <w:qFormat/>
    <w:uiPriority w:val="34"/>
    <w:pPr>
      <w:ind w:firstLine="420" w:firstLineChars="200"/>
    </w:pPr>
  </w:style>
  <w:style w:type="character" w:customStyle="1" w:styleId="16">
    <w:name w:val="页眉 Char"/>
    <w:basedOn w:val="12"/>
    <w:link w:val="10"/>
    <w:qFormat/>
    <w:uiPriority w:val="99"/>
    <w:rPr>
      <w:sz w:val="18"/>
      <w:szCs w:val="18"/>
    </w:rPr>
  </w:style>
  <w:style w:type="character" w:customStyle="1" w:styleId="17">
    <w:name w:val="页脚 Char"/>
    <w:basedOn w:val="12"/>
    <w:link w:val="9"/>
    <w:qFormat/>
    <w:uiPriority w:val="99"/>
    <w:rPr>
      <w:sz w:val="18"/>
      <w:szCs w:val="18"/>
    </w:rPr>
  </w:style>
  <w:style w:type="character" w:customStyle="1" w:styleId="18">
    <w:name w:val="批注框文本 Char"/>
    <w:basedOn w:val="12"/>
    <w:link w:val="8"/>
    <w:semiHidden/>
    <w:qFormat/>
    <w:uiPriority w:val="99"/>
    <w:rPr>
      <w:kern w:val="2"/>
      <w:sz w:val="18"/>
      <w:szCs w:val="18"/>
    </w:rPr>
  </w:style>
  <w:style w:type="character" w:customStyle="1" w:styleId="19">
    <w:name w:val="标题 1 Char"/>
    <w:basedOn w:val="12"/>
    <w:link w:val="3"/>
    <w:qFormat/>
    <w:uiPriority w:val="9"/>
    <w:rPr>
      <w:b/>
      <w:bCs/>
      <w:kern w:val="44"/>
      <w:sz w:val="44"/>
      <w:szCs w:val="44"/>
    </w:rPr>
  </w:style>
  <w:style w:type="character" w:customStyle="1" w:styleId="20">
    <w:name w:val="标题 2 Char"/>
    <w:basedOn w:val="12"/>
    <w:link w:val="4"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1">
    <w:name w:val="标题 3 Char"/>
    <w:basedOn w:val="12"/>
    <w:link w:val="5"/>
    <w:qFormat/>
    <w:uiPriority w:val="9"/>
    <w:rPr>
      <w:b/>
      <w:bCs/>
      <w:kern w:val="2"/>
      <w:sz w:val="32"/>
      <w:szCs w:val="32"/>
    </w:rPr>
  </w:style>
  <w:style w:type="paragraph" w:customStyle="1" w:styleId="22">
    <w:name w:val="列出段落2"/>
    <w:basedOn w:val="1"/>
    <w:qFormat/>
    <w:uiPriority w:val="99"/>
    <w:pPr>
      <w:ind w:firstLine="420" w:firstLineChars="200"/>
    </w:pPr>
  </w:style>
  <w:style w:type="character" w:customStyle="1" w:styleId="23">
    <w:name w:val="批注文字 Char"/>
    <w:basedOn w:val="12"/>
    <w:link w:val="7"/>
    <w:semiHidden/>
    <w:qFormat/>
    <w:uiPriority w:val="99"/>
    <w:rPr>
      <w:kern w:val="2"/>
      <w:sz w:val="21"/>
      <w:szCs w:val="22"/>
    </w:rPr>
  </w:style>
  <w:style w:type="character" w:customStyle="1" w:styleId="24">
    <w:name w:val="批注主题 Char"/>
    <w:basedOn w:val="23"/>
    <w:link w:val="6"/>
    <w:semiHidden/>
    <w:qFormat/>
    <w:uiPriority w:val="99"/>
    <w:rPr>
      <w:b/>
      <w:bCs/>
      <w:kern w:val="2"/>
      <w:sz w:val="21"/>
      <w:szCs w:val="22"/>
    </w:rPr>
  </w:style>
  <w:style w:type="paragraph" w:customStyle="1" w:styleId="25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8FAF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131</Words>
  <Characters>750</Characters>
  <Lines>6</Lines>
  <Paragraphs>1</Paragraphs>
  <TotalTime>3</TotalTime>
  <ScaleCrop>false</ScaleCrop>
  <LinksUpToDate>false</LinksUpToDate>
  <CharactersWithSpaces>880</CharactersWithSpaces>
  <Application>WPS Office_10.1.0.7526_F1E327BC-269C-435d-A152-05C5408002CA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2022-11-03T16:35:00Z</dcterms:created>
  <dc:creator>admin</dc:creator>
  <cp:lastModifiedBy>user</cp:lastModifiedBy>
  <cp:lastPrinted>2022-09-30T09:31:00Z</cp:lastPrinted>
  <dcterms:modified xsi:type="dcterms:W3CDTF">2022-12-01T14:47:08Z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2052-10.1.0.7526</vt:lpwstr>
  </property>
</Properties>
</file>