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0" w:type="dxa"/>
          <w:bottom w:w="0" w:type="dxa"/>
          <w:right w:w="0" w:type="dxa"/>
        </w:tblCellMar>
      </w:tblPr>
      <w:tblGrid>
        <w:gridCol w:w="7890"/>
      </w:tblGrid>
      <w:tr>
        <w:tblPrEx>
          <w:tblCellMar>
            <w:top w:w="0" w:type="dxa"/>
            <w:left w:w="0" w:type="dxa"/>
            <w:bottom w:w="0" w:type="dxa"/>
            <w:right w:w="0" w:type="dxa"/>
          </w:tblCellMar>
        </w:tblPrEx>
        <w:trPr>
          <w:jc w:val="center"/>
        </w:trPr>
        <w:tc>
          <w:tcPr>
            <w:tcW w:w="7890" w:type="dxa"/>
            <w:tcBorders>
              <w:top w:val="nil"/>
              <w:left w:val="nil"/>
              <w:bottom w:val="nil"/>
              <w:right w:val="nil"/>
            </w:tcBorders>
            <w:noWrap w:val="0"/>
            <w:vAlign w:val="center"/>
          </w:tcPr>
          <w:p>
            <w:pPr>
              <w:pStyle w:val="2"/>
              <w:keepNext w:val="0"/>
              <w:keepLines w:val="0"/>
              <w:widowControl/>
              <w:suppressLineNumbers w:val="0"/>
              <w:spacing w:line="360" w:lineRule="auto"/>
              <w:ind w:left="0" w:firstLine="460"/>
              <w:rPr>
                <w:rFonts w:hint="eastAsia" w:ascii="宋体" w:hAnsi="宋体" w:eastAsia="宋体" w:cs="宋体"/>
                <w:kern w:val="0"/>
                <w:sz w:val="24"/>
                <w:szCs w:val="24"/>
              </w:rPr>
            </w:pPr>
            <w:r>
              <w:rPr>
                <w:rStyle w:val="6"/>
                <w:rFonts w:hint="eastAsia" w:ascii="宋体" w:hAnsi="宋体" w:eastAsia="宋体" w:cs="宋体"/>
                <w:b/>
              </w:rPr>
              <w:t>案    由：</w:t>
            </w:r>
            <w:r>
              <w:rPr>
                <w:rFonts w:hint="eastAsia" w:ascii="宋体" w:hAnsi="宋体" w:eastAsia="宋体" w:cs="宋体"/>
                <w:kern w:val="0"/>
                <w:sz w:val="24"/>
                <w:szCs w:val="24"/>
              </w:rPr>
              <w:t>关于结合全国第一次自然风险普查，提升长宁地下空间安全的建议</w:t>
            </w:r>
          </w:p>
        </w:tc>
      </w:tr>
      <w:tr>
        <w:tblPrEx>
          <w:tblCellMar>
            <w:top w:w="0" w:type="dxa"/>
            <w:left w:w="0" w:type="dxa"/>
            <w:bottom w:w="0" w:type="dxa"/>
            <w:right w:w="0" w:type="dxa"/>
          </w:tblCellMar>
        </w:tblPrEx>
        <w:trPr>
          <w:jc w:val="center"/>
        </w:trPr>
        <w:tc>
          <w:tcPr>
            <w:tcW w:w="7890" w:type="dxa"/>
            <w:tcBorders>
              <w:top w:val="nil"/>
              <w:left w:val="nil"/>
              <w:bottom w:val="nil"/>
              <w:right w:val="nil"/>
            </w:tcBorders>
            <w:noWrap w:val="0"/>
            <w:vAlign w:val="center"/>
          </w:tcPr>
          <w:p>
            <w:pPr>
              <w:pStyle w:val="2"/>
              <w:keepNext w:val="0"/>
              <w:keepLines w:val="0"/>
              <w:widowControl/>
              <w:suppressLineNumbers w:val="0"/>
              <w:spacing w:line="360" w:lineRule="auto"/>
              <w:ind w:left="0" w:firstLine="460"/>
              <w:rPr>
                <w:rFonts w:hint="eastAsia" w:ascii="宋体" w:hAnsi="宋体" w:eastAsia="宋体" w:cs="宋体"/>
                <w:kern w:val="0"/>
                <w:sz w:val="24"/>
                <w:szCs w:val="24"/>
              </w:rPr>
            </w:pPr>
            <w:r>
              <w:rPr>
                <w:rStyle w:val="6"/>
                <w:rFonts w:hint="eastAsia" w:ascii="宋体" w:hAnsi="宋体" w:eastAsia="宋体" w:cs="宋体"/>
                <w:b/>
              </w:rPr>
              <w:t>编    号：</w:t>
            </w:r>
            <w:r>
              <w:rPr>
                <w:rFonts w:hint="eastAsia" w:ascii="宋体" w:hAnsi="宋体" w:eastAsia="宋体" w:cs="宋体"/>
                <w:kern w:val="0"/>
                <w:sz w:val="24"/>
                <w:szCs w:val="24"/>
              </w:rPr>
              <w:t>156</w:t>
            </w:r>
          </w:p>
        </w:tc>
      </w:tr>
      <w:tr>
        <w:tblPrEx>
          <w:tblCellMar>
            <w:top w:w="0" w:type="dxa"/>
            <w:left w:w="0" w:type="dxa"/>
            <w:bottom w:w="0" w:type="dxa"/>
            <w:right w:w="0" w:type="dxa"/>
          </w:tblCellMar>
        </w:tblPrEx>
        <w:trPr>
          <w:jc w:val="center"/>
        </w:trPr>
        <w:tc>
          <w:tcPr>
            <w:tcW w:w="7890" w:type="dxa"/>
            <w:tcBorders>
              <w:top w:val="nil"/>
              <w:left w:val="nil"/>
              <w:bottom w:val="nil"/>
              <w:right w:val="nil"/>
            </w:tcBorders>
            <w:noWrap w:val="0"/>
            <w:vAlign w:val="center"/>
          </w:tcPr>
          <w:p>
            <w:pPr>
              <w:pStyle w:val="2"/>
              <w:keepNext w:val="0"/>
              <w:keepLines w:val="0"/>
              <w:widowControl/>
              <w:suppressLineNumbers w:val="0"/>
              <w:spacing w:line="360" w:lineRule="auto"/>
              <w:ind w:left="0" w:firstLine="460"/>
              <w:rPr>
                <w:rFonts w:hint="eastAsia" w:ascii="宋体" w:hAnsi="宋体" w:eastAsia="宋体" w:cs="宋体"/>
                <w:kern w:val="0"/>
                <w:sz w:val="24"/>
                <w:szCs w:val="24"/>
              </w:rPr>
            </w:pPr>
            <w:r>
              <w:rPr>
                <w:rStyle w:val="6"/>
                <w:rFonts w:hint="eastAsia" w:ascii="宋体" w:hAnsi="宋体" w:eastAsia="宋体" w:cs="宋体"/>
                <w:b/>
              </w:rPr>
              <w:t>提 案 人：</w:t>
            </w:r>
            <w:r>
              <w:rPr>
                <w:rFonts w:hint="eastAsia" w:ascii="宋体" w:hAnsi="宋体" w:eastAsia="宋体" w:cs="宋体"/>
                <w:kern w:val="0"/>
                <w:sz w:val="24"/>
                <w:szCs w:val="24"/>
              </w:rPr>
              <w:t>施君</w:t>
            </w:r>
          </w:p>
        </w:tc>
      </w:tr>
      <w:tr>
        <w:tblPrEx>
          <w:tblCellMar>
            <w:top w:w="0" w:type="dxa"/>
            <w:left w:w="0" w:type="dxa"/>
            <w:bottom w:w="0" w:type="dxa"/>
            <w:right w:w="0" w:type="dxa"/>
          </w:tblCellMar>
        </w:tblPrEx>
        <w:trPr>
          <w:jc w:val="center"/>
        </w:trPr>
        <w:tc>
          <w:tcPr>
            <w:tcW w:w="7890" w:type="dxa"/>
            <w:tcBorders>
              <w:top w:val="nil"/>
              <w:left w:val="nil"/>
              <w:bottom w:val="nil"/>
              <w:right w:val="nil"/>
            </w:tcBorders>
            <w:noWrap w:val="0"/>
            <w:vAlign w:val="center"/>
          </w:tcPr>
          <w:p>
            <w:pPr>
              <w:pStyle w:val="2"/>
              <w:keepNext w:val="0"/>
              <w:keepLines w:val="0"/>
              <w:widowControl/>
              <w:suppressLineNumbers w:val="0"/>
              <w:spacing w:line="360" w:lineRule="auto"/>
              <w:ind w:left="0" w:firstLine="460"/>
              <w:rPr>
                <w:rFonts w:hint="eastAsia" w:ascii="宋体" w:hAnsi="宋体" w:eastAsia="宋体" w:cs="宋体"/>
                <w:kern w:val="0"/>
                <w:sz w:val="24"/>
                <w:szCs w:val="24"/>
              </w:rPr>
            </w:pPr>
            <w:r>
              <w:rPr>
                <w:rStyle w:val="6"/>
                <w:rFonts w:hint="eastAsia" w:ascii="宋体" w:hAnsi="宋体" w:eastAsia="宋体" w:cs="宋体"/>
                <w:b/>
              </w:rPr>
              <w:t>内容摘要：</w:t>
            </w:r>
            <w:r>
              <w:rPr>
                <w:rFonts w:hint="eastAsia" w:ascii="宋体" w:hAnsi="宋体" w:eastAsia="宋体" w:cs="宋体"/>
                <w:kern w:val="0"/>
                <w:sz w:val="24"/>
                <w:szCs w:val="24"/>
              </w:rPr>
              <w:t xml:space="preserve"> 随着商业体快速开发，人流越来越密集，地下空间隐患日益凸显。建议： 1、明确主体，加强城市地下空间安全管理。明确地下空间运营维护主体责任，负责将城市各管理机构相对分散的部门管理职能进行汇聚、协调。确保地下工程的地质和结构安全。健全地下空间的应急装备。强化安全意识教育宣传。探索建立政策的鼓励机制。 2、科学规划、合理布局长宁地下空间。建议规划形成“两</w:t>
            </w:r>
            <w:bookmarkStart w:id="0" w:name="_GoBack"/>
            <w:bookmarkEnd w:id="0"/>
            <w:r>
              <w:rPr>
                <w:rFonts w:hint="eastAsia" w:ascii="宋体" w:hAnsi="宋体" w:eastAsia="宋体" w:cs="宋体"/>
                <w:kern w:val="0"/>
                <w:sz w:val="24"/>
                <w:szCs w:val="24"/>
              </w:rPr>
              <w:t>片两轴多点”的结构，“两片”：形成东西两大地下空间重点开发地区。“两轴”：即地铁2 号线和10 号线是上海市地下空间东西向的重要轴线。 “多点”：即结合重点片区以外地铁站和大型绿地开发建设的地下空间的网络节点。 3、构建精细化地下空间防灾减灾策略。一是要精细化归纳汇总分析历年地下空间灾害发生情况，制定“地下空间灾害记录图”。二是进行精细化地质勘察，制定有利于掌握地下空间灾害风险的空间分布格局的“地下空间灾害风险区划等级图”。三是制定地下空间防灾减灾策略的基本依据。建立地下综合防灾系统,根据民防工程专项规划，按照平战结合的方式统筹布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OGQ4Y2RjODM4MmVmNWQ4M2E4MGM3OWYzZTljNzcifQ=="/>
  </w:docVars>
  <w:rsids>
    <w:rsidRoot w:val="32724740"/>
    <w:rsid w:val="3272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table" w:customStyle="1" w:styleId="5">
    <w:name w:val="普通表格 Char"/>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6">
    <w:name w:val="15"/>
    <w:basedOn w:val="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2022-07-08T07:54:00Z</dcterms:created>
  <dc:creator>Administrator</dc:creator>
  <cp:lastModifiedBy>Administrator</cp:lastModifiedBy>
  <dcterms:modified xsi:type="dcterms:W3CDTF">2022-07-08T07:54:58Z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E1B1977BB2A547A299BF9449117AD87A</vt:lpwstr>
  </property>
</Properties>
</file>