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bCs/>
          <w:color w:val="FF0000"/>
          <w:sz w:val="40"/>
          <w:szCs w:val="40"/>
        </w:rPr>
      </w:pPr>
    </w:p>
    <w:p>
      <w:pPr>
        <w:jc w:val="center"/>
        <w:outlineLvl w:val="0"/>
        <w:rPr>
          <w:rFonts w:ascii="仿宋_GB2312" w:hAnsi="仿宋_GB2312" w:eastAsia="仿宋_GB2312" w:cs="仿宋_GB2312"/>
          <w:b/>
          <w:bCs/>
          <w:color w:val="FF0000"/>
          <w:sz w:val="40"/>
          <w:szCs w:val="40"/>
        </w:rPr>
      </w:pPr>
    </w:p>
    <w:p>
      <w:pPr>
        <w:jc w:val="center"/>
        <w:outlineLvl w:val="0"/>
        <w:rPr>
          <w:rFonts w:ascii="宋体" w:hAnsi="宋体" w:cs="宋体"/>
          <w:b/>
          <w:bCs/>
          <w:color w:val="FF0000"/>
          <w:sz w:val="52"/>
          <w:szCs w:val="52"/>
        </w:rPr>
      </w:pPr>
      <w:r>
        <w:rPr>
          <w:rFonts w:hint="eastAsia" w:ascii="仿宋_GB2312" w:hAnsi="仿宋_GB2312" w:eastAsia="仿宋_GB2312" w:cs="仿宋_GB2312"/>
          <w:b/>
          <w:bCs/>
          <w:color w:val="FF0000"/>
          <w:sz w:val="52"/>
          <w:szCs w:val="52"/>
        </w:rPr>
        <w:t>上海市长宁区投资促进办公室文件</w:t>
      </w:r>
      <w:r>
        <w:rPr>
          <w:rFonts w:hint="eastAsia" w:ascii="宋体" w:hAnsi="宋体" w:cs="宋体"/>
          <w:b/>
          <w:bCs/>
          <w:color w:val="FF0000"/>
          <w:sz w:val="52"/>
          <w:szCs w:val="52"/>
        </w:rPr>
        <w:t xml:space="preserve"> </w:t>
      </w:r>
    </w:p>
    <w:p>
      <w:pPr>
        <w:outlineLvl w:val="0"/>
        <w:rPr>
          <w:rFonts w:ascii="宋体" w:hAnsi="宋体" w:cs="宋体"/>
          <w:b/>
          <w:bCs/>
          <w:color w:val="FF0000"/>
          <w:sz w:val="44"/>
          <w:szCs w:val="44"/>
        </w:rPr>
      </w:pPr>
    </w:p>
    <w:p>
      <w:pPr>
        <w:ind w:firstLine="2560" w:firstLineChars="800"/>
        <w:outlineLvl w:val="0"/>
        <w:rPr>
          <w:rFonts w:ascii="宋体" w:hAnsi="宋体" w:cs="宋体"/>
          <w:b/>
          <w:bCs/>
          <w:color w:val="FF0000"/>
          <w:sz w:val="40"/>
          <w:szCs w:val="40"/>
          <w:highlight w:val="none"/>
        </w:rPr>
      </w:pPr>
      <w:r>
        <w:rPr>
          <w:rFonts w:hint="eastAsia" w:ascii="仿宋" w:hAnsi="仿宋" w:eastAsia="仿宋"/>
          <w:sz w:val="32"/>
          <w:szCs w:val="32"/>
          <w:highlight w:val="none"/>
        </w:rPr>
        <w:t>长投促办</w:t>
      </w:r>
      <w:r>
        <w:rPr>
          <w:rFonts w:hint="eastAsia" w:ascii="仿宋" w:hAnsi="仿宋" w:eastAsia="仿宋" w:cs="黑体"/>
          <w:bCs/>
          <w:sz w:val="32"/>
          <w:szCs w:val="32"/>
          <w:highlight w:val="none"/>
        </w:rPr>
        <w:t>〔2022〕</w:t>
      </w:r>
      <w:r>
        <w:rPr>
          <w:rFonts w:hint="eastAsia" w:ascii="仿宋" w:hAnsi="仿宋" w:eastAsia="仿宋"/>
          <w:sz w:val="32"/>
          <w:szCs w:val="32"/>
          <w:highlight w:val="none"/>
          <w:lang w:val="en-US" w:eastAsia="zh-CN"/>
        </w:rPr>
        <w:t>14</w:t>
      </w:r>
      <w:r>
        <w:rPr>
          <w:rFonts w:hint="eastAsia" w:ascii="仿宋" w:hAnsi="仿宋" w:eastAsia="仿宋"/>
          <w:sz w:val="32"/>
          <w:szCs w:val="32"/>
          <w:highlight w:val="none"/>
        </w:rPr>
        <w:t>号</w:t>
      </w:r>
    </w:p>
    <w:p>
      <w:r>
        <mc:AlternateContent>
          <mc:Choice Requires="wps">
            <w:drawing>
              <wp:inline distT="0" distB="0" distL="114300" distR="114300">
                <wp:extent cx="5257800" cy="0"/>
                <wp:effectExtent l="0" t="0" r="0" b="0"/>
                <wp:docPr id="4" name="直接连接符 4"/>
                <wp:cNvGraphicFramePr/>
                <a:graphic xmlns:a="http://schemas.openxmlformats.org/drawingml/2006/main">
                  <a:graphicData uri="http://schemas.microsoft.com/office/word/2010/wordprocessingShape">
                    <wps:wsp>
                      <wps:cNvCnPr>
                        <a:cxnSpLocks noRot="1" noChangeShapeType="1"/>
                      </wps:cNvCnPr>
                      <wps:spPr bwMode="auto">
                        <a:xfrm>
                          <a:off x="0" y="0"/>
                          <a:ext cx="5257800" cy="0"/>
                        </a:xfrm>
                        <a:prstGeom prst="line">
                          <a:avLst/>
                        </a:prstGeom>
                        <a:noFill/>
                        <a:ln w="19050">
                          <a:solidFill>
                            <a:srgbClr val="FF0000"/>
                          </a:solidFill>
                          <a:round/>
                        </a:ln>
                        <a:effectLst/>
                      </wps:spPr>
                      <wps:bodyPr/>
                    </wps:wsp>
                  </a:graphicData>
                </a:graphic>
              </wp:inline>
            </w:drawing>
          </mc:Choice>
          <mc:Fallback>
            <w:pict>
              <v:line id="_x0000_s1026" o:spid="_x0000_s1026" o:spt="20" style="height:0pt;width:414pt;" filled="f" stroked="t" coordsize="21600,21600" o:gfxdata="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J7df50gAAAAIBAAAPAAAAAAAAAAEAIAAAACIA&#10;AABkcnMvZG93bnJldi54bWxQSwECFAAUAAAACACHTuJAfHR53NYBAAB1AwAADgAAAAAAAAABACAA&#10;AAAhAQAAZHJzL2Uyb0RvYy54bWxQSwUGAAAAAAYABgBZAQAAaQUAAAAA&#10;">
                <v:fill on="f" focussize="0,0"/>
                <v:stroke weight="1.5pt" color="#FF0000" joinstyle="round"/>
                <v:imagedata o:title=""/>
                <o:lock v:ext="edit" rotation="t" aspectratio="f"/>
                <w10:wrap type="none"/>
                <w10:anchorlock/>
              </v:line>
            </w:pict>
          </mc:Fallback>
        </mc:AlternateContent>
      </w:r>
    </w:p>
    <w:p>
      <w:pPr>
        <w:jc w:val="center"/>
        <w:rPr>
          <w:rFonts w:ascii="宋体"/>
          <w:sz w:val="36"/>
          <w:szCs w:val="36"/>
        </w:rPr>
      </w:pPr>
    </w:p>
    <w:p>
      <w:pPr>
        <w:jc w:val="center"/>
        <w:rPr>
          <w:rFonts w:ascii="宋体"/>
          <w:sz w:val="36"/>
          <w:szCs w:val="36"/>
        </w:rPr>
      </w:pPr>
    </w:p>
    <w:p>
      <w:pPr>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长宁区投促办关于对区政协十</w:t>
      </w:r>
      <w:r>
        <w:rPr>
          <w:rFonts w:hint="eastAsia" w:ascii="方正大标宋简体" w:hAnsi="方正大标宋简体" w:eastAsia="方正大标宋简体" w:cs="方正大标宋简体"/>
          <w:sz w:val="40"/>
          <w:szCs w:val="40"/>
          <w:lang w:eastAsia="zh-CN"/>
        </w:rPr>
        <w:t>五</w:t>
      </w:r>
      <w:r>
        <w:rPr>
          <w:rFonts w:hint="eastAsia" w:ascii="方正大标宋简体" w:hAnsi="方正大标宋简体" w:eastAsia="方正大标宋简体" w:cs="方正大标宋简体"/>
          <w:sz w:val="40"/>
          <w:szCs w:val="40"/>
        </w:rPr>
        <w:t>届</w:t>
      </w:r>
      <w:r>
        <w:rPr>
          <w:rFonts w:hint="eastAsia" w:ascii="方正大标宋简体" w:hAnsi="方正大标宋简体" w:eastAsia="方正大标宋简体" w:cs="方正大标宋简体"/>
          <w:sz w:val="40"/>
          <w:szCs w:val="40"/>
          <w:lang w:eastAsia="zh-CN"/>
        </w:rPr>
        <w:t>一</w:t>
      </w:r>
      <w:r>
        <w:rPr>
          <w:rFonts w:hint="eastAsia" w:ascii="方正大标宋简体" w:hAnsi="方正大标宋简体" w:eastAsia="方正大标宋简体" w:cs="方正大标宋简体"/>
          <w:sz w:val="40"/>
          <w:szCs w:val="40"/>
        </w:rPr>
        <w:t>次会议</w:t>
      </w:r>
    </w:p>
    <w:p>
      <w:pPr>
        <w:jc w:val="center"/>
        <w:rPr>
          <w:rFonts w:ascii="方正大标宋简体" w:hAnsi="方正大标宋简体" w:eastAsia="方正大标宋简体" w:cs="方正大标宋简体"/>
          <w:sz w:val="40"/>
          <w:szCs w:val="40"/>
          <w:highlight w:val="none"/>
        </w:rPr>
      </w:pPr>
      <w:bookmarkStart w:id="0" w:name="_GoBack"/>
      <w:r>
        <w:rPr>
          <w:rFonts w:hint="eastAsia" w:ascii="方正大标宋简体" w:hAnsi="方正大标宋简体" w:eastAsia="方正大标宋简体" w:cs="方正大标宋简体"/>
          <w:sz w:val="40"/>
          <w:szCs w:val="40"/>
          <w:highlight w:val="none"/>
        </w:rPr>
        <w:t>第0</w:t>
      </w:r>
      <w:r>
        <w:rPr>
          <w:rFonts w:hint="eastAsia" w:ascii="方正大标宋简体" w:hAnsi="方正大标宋简体" w:eastAsia="方正大标宋简体" w:cs="方正大标宋简体"/>
          <w:sz w:val="40"/>
          <w:szCs w:val="40"/>
          <w:highlight w:val="none"/>
          <w:lang w:val="en-US" w:eastAsia="zh-CN"/>
        </w:rPr>
        <w:t>7</w:t>
      </w:r>
      <w:r>
        <w:rPr>
          <w:rFonts w:hint="eastAsia" w:ascii="方正大标宋简体" w:hAnsi="方正大标宋简体" w:eastAsia="方正大标宋简体" w:cs="方正大标宋简体"/>
          <w:sz w:val="40"/>
          <w:szCs w:val="40"/>
          <w:highlight w:val="none"/>
        </w:rPr>
        <w:t>1号提案的答复函</w:t>
      </w:r>
      <w:bookmarkEnd w:id="0"/>
    </w:p>
    <w:p>
      <w:pPr>
        <w:pStyle w:val="2"/>
      </w:pPr>
    </w:p>
    <w:p/>
    <w:p>
      <w:pPr>
        <w:pStyle w:val="2"/>
        <w:rPr>
          <w:rFonts w:hint="eastAsia" w:ascii="仿宋" w:hAnsi="仿宋" w:eastAsia="仿宋"/>
          <w:sz w:val="32"/>
          <w:szCs w:val="32"/>
          <w:lang w:eastAsia="zh-CN"/>
        </w:rPr>
      </w:pPr>
      <w:r>
        <w:rPr>
          <w:rFonts w:hint="eastAsia" w:ascii="仿宋" w:hAnsi="仿宋" w:eastAsia="仿宋"/>
          <w:sz w:val="32"/>
          <w:szCs w:val="32"/>
        </w:rPr>
        <w:t>办理结果：解决或采纳</w:t>
      </w:r>
      <w:r>
        <w:rPr>
          <w:rFonts w:hint="eastAsia" w:ascii="仿宋" w:hAnsi="仿宋" w:eastAsia="仿宋"/>
          <w:sz w:val="32"/>
          <w:szCs w:val="32"/>
        </w:rPr>
        <w:tab/>
      </w:r>
      <w:r>
        <w:rPr>
          <w:rFonts w:hint="eastAsia" w:ascii="仿宋" w:hAnsi="仿宋" w:eastAsia="仿宋"/>
          <w:sz w:val="32"/>
          <w:szCs w:val="32"/>
        </w:rPr>
        <w:t xml:space="preserve">                签发人：</w:t>
      </w:r>
      <w:r>
        <w:rPr>
          <w:rFonts w:hint="eastAsia" w:ascii="仿宋" w:hAnsi="仿宋" w:eastAsia="仿宋"/>
          <w:sz w:val="32"/>
          <w:szCs w:val="32"/>
          <w:lang w:eastAsia="zh-CN"/>
        </w:rPr>
        <w:t>游</w:t>
      </w:r>
      <w:r>
        <w:rPr>
          <w:rFonts w:hint="eastAsia" w:ascii="仿宋" w:hAnsi="仿宋" w:eastAsia="仿宋"/>
          <w:sz w:val="32"/>
          <w:szCs w:val="32"/>
        </w:rPr>
        <w:t xml:space="preserve">  </w:t>
      </w:r>
      <w:r>
        <w:rPr>
          <w:rFonts w:hint="eastAsia" w:ascii="仿宋" w:hAnsi="仿宋" w:eastAsia="仿宋"/>
          <w:sz w:val="32"/>
          <w:szCs w:val="32"/>
          <w:lang w:eastAsia="zh-CN"/>
        </w:rPr>
        <w:t>雁</w:t>
      </w:r>
    </w:p>
    <w:p>
      <w:pPr>
        <w:pStyle w:val="2"/>
        <w:rPr>
          <w:rFonts w:ascii="仿宋" w:hAnsi="仿宋" w:eastAsia="仿宋"/>
          <w:b/>
          <w:bCs/>
          <w:sz w:val="32"/>
          <w:szCs w:val="32"/>
        </w:rPr>
      </w:pPr>
      <w:r>
        <w:rPr>
          <w:rFonts w:hint="eastAsia" w:ascii="仿宋" w:hAnsi="仿宋" w:eastAsia="仿宋"/>
          <w:b/>
          <w:bCs/>
          <w:sz w:val="32"/>
          <w:szCs w:val="32"/>
        </w:rPr>
        <w:t xml:space="preserve"> </w:t>
      </w:r>
    </w:p>
    <w:p>
      <w:pPr>
        <w:widowControl/>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欧涛、陈勇、卫新委员：</w:t>
      </w:r>
    </w:p>
    <w:p>
      <w:pPr>
        <w:widowControl/>
        <w:ind w:firstLine="640"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您们提出的《关于加强招商服务队伍建设以解决招商竞争力的建议》的提案收悉，经研究，现将办理情况答复如下：</w:t>
      </w:r>
    </w:p>
    <w:p>
      <w:pPr>
        <w:widowControl/>
        <w:ind w:firstLine="640"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提案根据长宁区今后发展战略机遇，围绕区内功能性平台建设，总结分析当前招商引资队伍的现状和存在的问题与不足，并就招商人员职业培训与能力提升提出了真知灼见。</w:t>
      </w:r>
    </w:p>
    <w:p>
      <w:pPr>
        <w:widowControl/>
        <w:ind w:firstLine="640"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期间，我办高度重视做好071号提案的办理答复工作，多次会同相关街镇、东虹办，通过走访、调研、座谈、电话、邮件等多种方式，充分听取委员的意见建议，计划从以下几点做好招商服务队伍建设。</w:t>
      </w:r>
    </w:p>
    <w:p>
      <w:pPr>
        <w:adjustRightInd w:val="0"/>
        <w:snapToGrid w:val="0"/>
        <w:spacing w:line="56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一</w:t>
      </w:r>
      <w:r>
        <w:rPr>
          <w:rFonts w:ascii="黑体" w:hAnsi="黑体" w:eastAsia="黑体" w:cs="仿宋"/>
          <w:sz w:val="32"/>
          <w:szCs w:val="32"/>
        </w:rPr>
        <w:t>、</w:t>
      </w:r>
      <w:r>
        <w:rPr>
          <w:rFonts w:hint="eastAsia" w:ascii="黑体" w:hAnsi="黑体" w:eastAsia="黑体" w:cs="仿宋"/>
          <w:sz w:val="32"/>
          <w:szCs w:val="32"/>
        </w:rPr>
        <w:t>提升招商能级</w:t>
      </w:r>
    </w:p>
    <w:p>
      <w:pPr>
        <w:widowControl/>
        <w:ind w:firstLine="640"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建立分层次、多类别、宽领域的人才交流机制，采取“请进来”与“走出去”相结合的方式。</w:t>
      </w:r>
      <w:r>
        <w:rPr>
          <w:rFonts w:hint="eastAsia" w:ascii="仿宋_GB2312" w:hAnsi="仿宋_GB2312" w:eastAsia="仿宋_GB2312" w:cs="仿宋_GB2312"/>
          <w:b/>
          <w:bCs/>
          <w:color w:val="000000"/>
          <w:kern w:val="0"/>
          <w:sz w:val="32"/>
          <w:szCs w:val="32"/>
          <w:highlight w:val="none"/>
          <w:lang w:bidi="ar"/>
        </w:rPr>
        <w:t>一是</w:t>
      </w:r>
      <w:r>
        <w:rPr>
          <w:rFonts w:hint="eastAsia" w:ascii="仿宋_GB2312" w:hAnsi="仿宋_GB2312" w:eastAsia="仿宋_GB2312" w:cs="仿宋_GB2312"/>
          <w:color w:val="000000"/>
          <w:kern w:val="0"/>
          <w:sz w:val="32"/>
          <w:szCs w:val="32"/>
          <w:highlight w:val="none"/>
          <w:lang w:bidi="ar"/>
        </w:rPr>
        <w:t>发挥“1+8+4”联合招商体载体优势，探索各招商主体间的招商人才双向交流，推动优势互补，政策互通，为经济发展提速增效打好基础。</w:t>
      </w:r>
      <w:r>
        <w:rPr>
          <w:rFonts w:hint="eastAsia" w:ascii="仿宋_GB2312" w:hAnsi="仿宋_GB2312" w:eastAsia="仿宋_GB2312" w:cs="仿宋_GB2312"/>
          <w:b/>
          <w:bCs/>
          <w:color w:val="000000"/>
          <w:kern w:val="0"/>
          <w:sz w:val="32"/>
          <w:szCs w:val="32"/>
          <w:highlight w:val="none"/>
          <w:lang w:bidi="ar"/>
        </w:rPr>
        <w:t>二是</w:t>
      </w:r>
      <w:r>
        <w:rPr>
          <w:rFonts w:hint="eastAsia" w:ascii="仿宋_GB2312" w:hAnsi="仿宋_GB2312" w:eastAsia="仿宋_GB2312" w:cs="仿宋_GB2312"/>
          <w:color w:val="000000"/>
          <w:kern w:val="0"/>
          <w:sz w:val="32"/>
          <w:szCs w:val="32"/>
          <w:highlight w:val="none"/>
          <w:lang w:bidi="ar"/>
        </w:rPr>
        <w:t>组织招商干部赴京津冀、大湾区、长三角的新兴城市考察调研、交流学习先进工作经验。</w:t>
      </w:r>
    </w:p>
    <w:p>
      <w:pPr>
        <w:adjustRightInd w:val="0"/>
        <w:snapToGrid w:val="0"/>
        <w:spacing w:line="56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二</w:t>
      </w:r>
      <w:r>
        <w:rPr>
          <w:rFonts w:ascii="黑体" w:hAnsi="黑体" w:eastAsia="黑体" w:cs="仿宋"/>
          <w:sz w:val="32"/>
          <w:szCs w:val="32"/>
        </w:rPr>
        <w:t>、</w:t>
      </w:r>
      <w:r>
        <w:rPr>
          <w:rFonts w:hint="eastAsia" w:ascii="黑体" w:hAnsi="黑体" w:eastAsia="黑体" w:cs="仿宋"/>
          <w:sz w:val="32"/>
          <w:szCs w:val="32"/>
        </w:rPr>
        <w:t>培训综合素质</w:t>
      </w:r>
    </w:p>
    <w:p>
      <w:pPr>
        <w:widowControl/>
        <w:ind w:firstLine="640"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在全市各区的企业扶持政策逐渐同质化的趋势下，专业的招商人才队伍是招商工作的主体力量，是进行招商科学决策的前提，也是招商工作顺利进行的保证。为提高招商队伍的整体素质，我办将协调做好内部学习和外部培训，</w:t>
      </w:r>
      <w:r>
        <w:rPr>
          <w:rFonts w:hint="eastAsia" w:ascii="仿宋_GB2312" w:hAnsi="仿宋_GB2312" w:eastAsia="仿宋_GB2312" w:cs="仿宋_GB2312"/>
          <w:b/>
          <w:bCs/>
          <w:color w:val="000000"/>
          <w:kern w:val="0"/>
          <w:sz w:val="32"/>
          <w:szCs w:val="32"/>
          <w:highlight w:val="none"/>
          <w:lang w:bidi="ar"/>
        </w:rPr>
        <w:t>一是</w:t>
      </w:r>
      <w:r>
        <w:rPr>
          <w:rFonts w:hint="eastAsia" w:ascii="仿宋_GB2312" w:hAnsi="仿宋_GB2312" w:eastAsia="仿宋_GB2312" w:cs="仿宋_GB2312"/>
          <w:color w:val="000000"/>
          <w:kern w:val="0"/>
          <w:sz w:val="32"/>
          <w:szCs w:val="32"/>
          <w:highlight w:val="none"/>
          <w:lang w:bidi="ar"/>
        </w:rPr>
        <w:t>主动对接市、区相关委办局，组织区内招商队伍轮换参加多层次、各种类的业务专业知识专题班培训，就区情区况、产业发展、行业许可、政策培训、税务知识、企业登记等内容结合本市的战略规划和产业优势进行知识更新，将最新经济发展热点、行业趋势、惠企政策吃透用熟，全面提升招商队伍政策运用、项目服务等综合能力，目前我办已与市投促办对接参加“浦江之光”“投资上海系列能力提升”等品牌培训活动。</w:t>
      </w:r>
      <w:r>
        <w:rPr>
          <w:rFonts w:hint="eastAsia" w:ascii="仿宋_GB2312" w:hAnsi="仿宋_GB2312" w:eastAsia="仿宋_GB2312" w:cs="仿宋_GB2312"/>
          <w:b/>
          <w:bCs/>
          <w:color w:val="000000"/>
          <w:kern w:val="0"/>
          <w:sz w:val="32"/>
          <w:szCs w:val="32"/>
          <w:highlight w:val="none"/>
          <w:lang w:bidi="ar"/>
        </w:rPr>
        <w:t>二是</w:t>
      </w:r>
      <w:r>
        <w:rPr>
          <w:rFonts w:hint="eastAsia" w:ascii="仿宋_GB2312" w:hAnsi="仿宋_GB2312" w:eastAsia="仿宋_GB2312" w:cs="仿宋_GB2312"/>
          <w:color w:val="000000"/>
          <w:kern w:val="0"/>
          <w:sz w:val="32"/>
          <w:szCs w:val="32"/>
          <w:highlight w:val="none"/>
          <w:lang w:bidi="ar"/>
        </w:rPr>
        <w:t>通过市场化手段整合教培公司、商业银行、知名律所、优质中介等多方资源，强化组织专业培训，扩展知识面及客户洽谈应对技巧，为提升招商员的信息收集分析能力、组织沟通能力、投入产出计算能力、基本法理判断能力，计划组织线上线下结合的市场化培训，打造事业心强、熟悉经济、有开拓奉献精神的招商队伍。</w:t>
      </w:r>
      <w:r>
        <w:rPr>
          <w:rFonts w:hint="eastAsia" w:ascii="仿宋_GB2312" w:hAnsi="仿宋_GB2312" w:eastAsia="仿宋_GB2312" w:cs="仿宋_GB2312"/>
          <w:b/>
          <w:bCs/>
          <w:color w:val="000000"/>
          <w:kern w:val="0"/>
          <w:sz w:val="32"/>
          <w:szCs w:val="32"/>
          <w:highlight w:val="none"/>
          <w:lang w:bidi="ar"/>
        </w:rPr>
        <w:t>三是</w:t>
      </w:r>
      <w:r>
        <w:rPr>
          <w:rFonts w:hint="eastAsia" w:ascii="仿宋_GB2312" w:hAnsi="仿宋_GB2312" w:eastAsia="仿宋_GB2312" w:cs="仿宋_GB2312"/>
          <w:color w:val="000000"/>
          <w:kern w:val="0"/>
          <w:sz w:val="32"/>
          <w:szCs w:val="32"/>
          <w:highlight w:val="none"/>
          <w:lang w:bidi="ar"/>
        </w:rPr>
        <w:t>在我区融入虹桥国际中央商务区核心区建设的核心节点上，面对新形势、新机遇、新挑战，为加大投促宣传力度统一招商政策口径，我办拟制作新版投促宣传手册，为长宁的营商环境介绍，产业政策解读提供一个规范化的模板，现阶段宣传手册已形成初稿，预计</w:t>
      </w:r>
      <w:r>
        <w:rPr>
          <w:rFonts w:hint="eastAsia" w:ascii="仿宋_GB2312" w:hAnsi="仿宋_GB2312" w:eastAsia="仿宋_GB2312" w:cs="仿宋_GB2312"/>
          <w:color w:val="000000"/>
          <w:kern w:val="0"/>
          <w:sz w:val="32"/>
          <w:szCs w:val="32"/>
          <w:highlight w:val="none"/>
          <w:lang w:val="en-US" w:eastAsia="zh-CN" w:bidi="ar"/>
        </w:rPr>
        <w:t>10</w:t>
      </w:r>
      <w:r>
        <w:rPr>
          <w:rFonts w:hint="eastAsia" w:ascii="仿宋_GB2312" w:hAnsi="仿宋_GB2312" w:eastAsia="仿宋_GB2312" w:cs="仿宋_GB2312"/>
          <w:color w:val="000000"/>
          <w:kern w:val="0"/>
          <w:sz w:val="32"/>
          <w:szCs w:val="32"/>
          <w:highlight w:val="none"/>
          <w:lang w:bidi="ar"/>
        </w:rPr>
        <w:t>月前可正式发布。</w:t>
      </w:r>
    </w:p>
    <w:p>
      <w:pPr>
        <w:adjustRightInd w:val="0"/>
        <w:snapToGrid w:val="0"/>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三</w:t>
      </w:r>
      <w:r>
        <w:rPr>
          <w:rFonts w:ascii="黑体" w:hAnsi="黑体" w:eastAsia="黑体" w:cs="仿宋"/>
          <w:sz w:val="32"/>
          <w:szCs w:val="32"/>
        </w:rPr>
        <w:t>、</w:t>
      </w:r>
      <w:r>
        <w:rPr>
          <w:rFonts w:hint="eastAsia" w:ascii="黑体" w:hAnsi="黑体" w:eastAsia="黑体" w:cs="仿宋"/>
          <w:sz w:val="32"/>
          <w:szCs w:val="32"/>
        </w:rPr>
        <w:t>建设专业团队</w:t>
      </w:r>
    </w:p>
    <w:p>
      <w:pPr>
        <w:widowControl/>
        <w:ind w:firstLine="640" w:firstLineChars="200"/>
        <w:jc w:val="left"/>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为加强基层的招商服务力量,我办将配合各街镇做好招商团队建设，</w:t>
      </w:r>
      <w:r>
        <w:rPr>
          <w:rFonts w:hint="eastAsia" w:ascii="仿宋_GB2312" w:hAnsi="仿宋_GB2312" w:eastAsia="仿宋_GB2312" w:cs="仿宋_GB2312"/>
          <w:b/>
          <w:bCs/>
          <w:color w:val="000000"/>
          <w:kern w:val="0"/>
          <w:sz w:val="32"/>
          <w:szCs w:val="32"/>
          <w:highlight w:val="none"/>
          <w:lang w:bidi="ar"/>
        </w:rPr>
        <w:t>一是</w:t>
      </w:r>
      <w:r>
        <w:rPr>
          <w:rFonts w:hint="eastAsia" w:ascii="仿宋_GB2312" w:hAnsi="仿宋_GB2312" w:eastAsia="仿宋_GB2312" w:cs="仿宋_GB2312"/>
          <w:color w:val="000000"/>
          <w:kern w:val="0"/>
          <w:sz w:val="32"/>
          <w:szCs w:val="32"/>
          <w:highlight w:val="none"/>
          <w:lang w:bidi="ar"/>
        </w:rPr>
        <w:t>去年各街镇已分别成立事业编制的经济发展服务中心,编制为每个中心10 人以上,为扩充服务力量，扩大服务对象，扩展服务内容，各街镇将持续做好事业人员的招录及有丰富招商经验或资源的企业化招商人才补充，在区内形成一支300人左右的机关人员+企业化专业人员的专业招商队伍。</w:t>
      </w:r>
      <w:r>
        <w:rPr>
          <w:rFonts w:hint="eastAsia" w:ascii="仿宋_GB2312" w:hAnsi="仿宋_GB2312" w:eastAsia="仿宋_GB2312" w:cs="仿宋_GB2312"/>
          <w:b/>
          <w:bCs/>
          <w:color w:val="000000"/>
          <w:kern w:val="0"/>
          <w:sz w:val="32"/>
          <w:szCs w:val="32"/>
          <w:highlight w:val="none"/>
          <w:lang w:bidi="ar"/>
        </w:rPr>
        <w:t>二是</w:t>
      </w:r>
      <w:r>
        <w:rPr>
          <w:rFonts w:hint="eastAsia" w:ascii="仿宋_GB2312" w:hAnsi="仿宋_GB2312" w:eastAsia="仿宋_GB2312" w:cs="仿宋_GB2312"/>
          <w:color w:val="000000"/>
          <w:kern w:val="0"/>
          <w:sz w:val="32"/>
          <w:szCs w:val="32"/>
          <w:highlight w:val="none"/>
          <w:lang w:bidi="ar"/>
        </w:rPr>
        <w:t>推行 AB 角联动，创新岗位管理，招商队伍探索实行“全岗通”模式。AB 角彼此掌握对方的专业知识、工作内容和业务操作，结合各自工作思维特点，促进互相学习、取长补短、共同提高，实现“一岗多能”，提高工作效能。</w:t>
      </w:r>
      <w:r>
        <w:rPr>
          <w:rFonts w:hint="eastAsia" w:ascii="仿宋_GB2312" w:hAnsi="仿宋_GB2312" w:eastAsia="仿宋_GB2312" w:cs="仿宋_GB2312"/>
          <w:b/>
          <w:bCs/>
          <w:color w:val="000000"/>
          <w:kern w:val="0"/>
          <w:sz w:val="32"/>
          <w:szCs w:val="32"/>
          <w:highlight w:val="none"/>
          <w:lang w:bidi="ar"/>
        </w:rPr>
        <w:t>三是</w:t>
      </w:r>
      <w:r>
        <w:rPr>
          <w:rFonts w:hint="eastAsia" w:ascii="仿宋_GB2312" w:hAnsi="仿宋_GB2312" w:eastAsia="仿宋_GB2312" w:cs="仿宋_GB2312"/>
          <w:color w:val="000000"/>
          <w:kern w:val="0"/>
          <w:sz w:val="32"/>
          <w:szCs w:val="32"/>
          <w:highlight w:val="none"/>
          <w:lang w:bidi="ar"/>
        </w:rPr>
        <w:t>细化绩效考核，指导各街镇把“一分部署、九分落实”落实到招商服务人员的考核管理上，以重实干、重实绩、重担当导向，激励队伍成员工作实效作为业绩考核，包括新增企业数量、重点项目和</w:t>
      </w:r>
      <w:r>
        <w:rPr>
          <w:rFonts w:hint="eastAsia" w:ascii="仿宋_GB2312" w:hAnsi="仿宋_GB2312" w:eastAsia="仿宋_GB2312" w:cs="仿宋_GB2312"/>
          <w:color w:val="000000"/>
          <w:kern w:val="0"/>
          <w:sz w:val="32"/>
          <w:szCs w:val="32"/>
          <w:highlight w:val="none"/>
          <w:lang w:eastAsia="zh-CN" w:bidi="ar"/>
        </w:rPr>
        <w:t>综合贡献等</w:t>
      </w:r>
      <w:r>
        <w:rPr>
          <w:rFonts w:hint="eastAsia" w:ascii="仿宋_GB2312" w:hAnsi="仿宋_GB2312" w:eastAsia="仿宋_GB2312" w:cs="仿宋_GB2312"/>
          <w:color w:val="000000"/>
          <w:kern w:val="0"/>
          <w:sz w:val="32"/>
          <w:szCs w:val="32"/>
          <w:highlight w:val="none"/>
          <w:lang w:bidi="ar"/>
        </w:rPr>
        <w:t xml:space="preserve">目标。将常态化检查、随机抽查相结合，建立工作台账，责任到人。根据绩效考核结果，对于不同编制的招商人员，制定年度招商引资奖励方案或干部提调、嘉奖、轮换计划，提升招商队伍工作积极性。        </w:t>
      </w:r>
    </w:p>
    <w:p>
      <w:pPr>
        <w:widowControl/>
        <w:ind w:firstLine="640" w:firstLineChars="200"/>
        <w:jc w:val="left"/>
        <w:rPr>
          <w:rFonts w:hint="eastAsia" w:ascii="仿宋_GB2312" w:hAnsi="仿宋_GB2312" w:eastAsia="仿宋_GB2312" w:cs="仿宋_GB2312"/>
          <w:color w:val="000000"/>
          <w:kern w:val="0"/>
          <w:sz w:val="32"/>
          <w:szCs w:val="32"/>
          <w:highlight w:val="none"/>
          <w:lang w:bidi="ar"/>
        </w:rPr>
      </w:pPr>
    </w:p>
    <w:p>
      <w:pPr>
        <w:spacing w:line="520" w:lineRule="exact"/>
        <w:ind w:right="840"/>
        <w:jc w:val="right"/>
        <w:rPr>
          <w:rFonts w:ascii="仿宋_GB2312" w:hAnsi="仿宋_GB2312" w:eastAsia="仿宋_GB2312" w:cs="仿宋_GB2312"/>
          <w:color w:val="000000"/>
          <w:kern w:val="0"/>
          <w:sz w:val="32"/>
          <w:szCs w:val="32"/>
          <w:lang w:bidi="ar"/>
        </w:rPr>
      </w:pPr>
    </w:p>
    <w:p>
      <w:pPr>
        <w:spacing w:line="520" w:lineRule="exact"/>
        <w:ind w:right="840"/>
        <w:jc w:val="right"/>
        <w:rPr>
          <w:rFonts w:ascii="仿宋" w:hAnsi="仿宋" w:eastAsia="仿宋"/>
          <w:sz w:val="32"/>
          <w:szCs w:val="32"/>
          <w:highlight w:val="none"/>
        </w:rPr>
      </w:pPr>
      <w:r>
        <w:rPr>
          <w:rFonts w:hint="eastAsia" w:ascii="仿宋" w:hAnsi="仿宋" w:eastAsia="仿宋"/>
          <w:sz w:val="32"/>
          <w:szCs w:val="32"/>
          <w:highlight w:val="none"/>
        </w:rPr>
        <w:t>长宁区投资促进办公室</w:t>
      </w:r>
    </w:p>
    <w:p>
      <w:pPr>
        <w:spacing w:line="520" w:lineRule="exact"/>
        <w:ind w:right="840"/>
        <w:jc w:val="center"/>
        <w:rPr>
          <w:rFonts w:ascii="仿宋" w:hAnsi="仿宋" w:eastAsia="仿宋"/>
          <w:sz w:val="32"/>
          <w:szCs w:val="32"/>
          <w:highlight w:val="none"/>
        </w:rPr>
      </w:pPr>
      <w:r>
        <w:rPr>
          <w:rFonts w:hint="eastAsia" w:ascii="仿宋" w:hAnsi="仿宋" w:eastAsia="仿宋"/>
          <w:sz w:val="32"/>
          <w:szCs w:val="32"/>
          <w:highlight w:val="none"/>
        </w:rPr>
        <w:t xml:space="preserve">                         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 3月</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日</w:t>
      </w:r>
    </w:p>
    <w:p>
      <w:pPr>
        <w:pStyle w:val="2"/>
        <w:rPr>
          <w:rFonts w:ascii="仿宋_GB2312" w:hAnsi="仿宋_GB2312" w:eastAsia="仿宋_GB2312" w:cs="仿宋_GB2312"/>
          <w:color w:val="000000"/>
          <w:kern w:val="0"/>
          <w:sz w:val="32"/>
          <w:szCs w:val="32"/>
          <w:highlight w:val="none"/>
          <w:lang w:bidi="ar"/>
        </w:rPr>
      </w:pPr>
    </w:p>
    <w:p>
      <w:pPr>
        <w:pStyle w:val="2"/>
        <w:rPr>
          <w:rFonts w:ascii="仿宋_GB2312" w:hAnsi="仿宋_GB2312" w:eastAsia="仿宋_GB2312" w:cs="仿宋_GB2312"/>
          <w:color w:val="000000"/>
          <w:kern w:val="0"/>
          <w:sz w:val="32"/>
          <w:szCs w:val="32"/>
          <w:highlight w:val="none"/>
          <w:lang w:bidi="ar"/>
        </w:rPr>
      </w:pPr>
    </w:p>
    <w:p>
      <w:pPr>
        <w:pStyle w:val="2"/>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sz w:val="30"/>
          <w:szCs w:val="30"/>
          <w:highlight w:val="none"/>
        </w:rPr>
        <w:t>（此件公开发布）</w:t>
      </w:r>
    </w:p>
    <w:p>
      <w:pPr>
        <w:spacing w:line="520" w:lineRule="exact"/>
        <w:rPr>
          <w:rFonts w:ascii="仿宋" w:hAnsi="仿宋" w:eastAsia="仿宋"/>
          <w:sz w:val="32"/>
          <w:szCs w:val="32"/>
          <w:highlight w:val="none"/>
          <w:u w:val="single"/>
        </w:rPr>
      </w:pPr>
      <w:r>
        <w:rPr>
          <w:rFonts w:hint="eastAsia" w:ascii="仿宋" w:hAnsi="仿宋" w:eastAsia="仿宋"/>
          <w:sz w:val="32"/>
          <w:szCs w:val="32"/>
          <w:highlight w:val="none"/>
          <w:u w:val="single"/>
        </w:rPr>
        <w:t xml:space="preserve">                                                    </w:t>
      </w:r>
    </w:p>
    <w:p>
      <w:pPr>
        <w:pStyle w:val="2"/>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上海市长宁区投资促进办公室      202</w:t>
      </w:r>
      <w:r>
        <w:rPr>
          <w:rFonts w:hint="eastAsia" w:ascii="仿宋_GB2312" w:hAnsi="仿宋_GB2312" w:eastAsia="仿宋_GB2312" w:cs="仿宋_GB2312"/>
          <w:sz w:val="32"/>
          <w:szCs w:val="32"/>
          <w:highlight w:val="none"/>
          <w:u w:val="single"/>
          <w:lang w:val="en-US" w:eastAsia="zh-CN"/>
        </w:rPr>
        <w:t>2</w:t>
      </w:r>
      <w:r>
        <w:rPr>
          <w:rFonts w:hint="eastAsia" w:ascii="仿宋_GB2312" w:hAnsi="仿宋_GB2312" w:eastAsia="仿宋_GB2312" w:cs="仿宋_GB2312"/>
          <w:sz w:val="32"/>
          <w:szCs w:val="32"/>
          <w:highlight w:val="none"/>
          <w:u w:val="single"/>
        </w:rPr>
        <w:t>年</w:t>
      </w:r>
      <w:r>
        <w:rPr>
          <w:rFonts w:hint="eastAsia" w:ascii="仿宋_GB2312" w:hAnsi="仿宋_GB2312" w:eastAsia="仿宋_GB2312" w:cs="仿宋_GB2312"/>
          <w:sz w:val="32"/>
          <w:szCs w:val="32"/>
          <w:highlight w:val="none"/>
          <w:u w:val="single"/>
          <w:lang w:val="en-US" w:eastAsia="zh-CN"/>
        </w:rPr>
        <w:t>6</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2</w:t>
      </w:r>
      <w:r>
        <w:rPr>
          <w:rFonts w:hint="eastAsia" w:ascii="仿宋_GB2312" w:hAnsi="仿宋_GB2312" w:eastAsia="仿宋_GB2312" w:cs="仿宋_GB2312"/>
          <w:sz w:val="32"/>
          <w:szCs w:val="32"/>
          <w:highlight w:val="none"/>
          <w:u w:val="single"/>
        </w:rPr>
        <w:t>日印发</w:t>
      </w:r>
    </w:p>
    <w:p>
      <w:pPr>
        <w:rPr>
          <w:highlight w:val="none"/>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大标宋简体">
    <w:altName w:val="微软雅黑"/>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- 5 -</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- 5 -</w:t>
                    </w:r>
                    <w:r>
                      <w:rPr>
                        <w:rFonts w:hint="eastAsia" w:ascii="仿宋" w:hAnsi="仿宋" w:eastAsia="仿宋" w:cs="仿宋"/>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42F6"/>
    <w:rsid w:val="195FFA83"/>
    <w:rsid w:val="5DC52357"/>
    <w:rsid w:val="6E7F6C88"/>
    <w:rsid w:val="7B31B2A1"/>
    <w:rsid w:val="7FF764F4"/>
    <w:rsid w:val="7FFD42F6"/>
    <w:rsid w:val="BFFFB6D6"/>
    <w:rsid w:val="FB45409F"/>
    <w:rsid w:val="FBD93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Office_10.8.2.6515_F1E327BC-269C-435d-A152-05C5408002CA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2023-02-02T08:20:00Z</dcterms:created>
  <dc:creator>user</dc:creator>
  <cp:lastModifiedBy>Administrator</cp:lastModifiedBy>
  <cp:lastPrinted>2023-02-02T09:19:35Z</cp:lastPrinted>
  <dcterms:modified xsi:type="dcterms:W3CDTF">2023-02-03T03:21:23Z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2052-10.8.2.6515</vt:lpwstr>
  </property>
</Properties>
</file>