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cs="宋体"/>
          <w:b/>
          <w:bCs/>
          <w:color w:val="FF0000"/>
          <w:sz w:val="40"/>
          <w:szCs w:val="40"/>
        </w:rPr>
      </w:pPr>
    </w:p>
    <w:p>
      <w:pPr>
        <w:jc w:val="center"/>
        <w:outlineLvl w:val="0"/>
        <w:rPr>
          <w:rFonts w:ascii="仿宋_GB2312" w:hAnsi="仿宋_GB2312" w:eastAsia="仿宋_GB2312" w:cs="仿宋_GB2312"/>
          <w:b/>
          <w:bCs/>
          <w:color w:val="FF0000"/>
          <w:sz w:val="40"/>
          <w:szCs w:val="40"/>
        </w:rPr>
      </w:pPr>
    </w:p>
    <w:p>
      <w:pPr>
        <w:jc w:val="center"/>
        <w:outlineLvl w:val="0"/>
        <w:rPr>
          <w:rFonts w:ascii="宋体" w:hAnsi="宋体" w:cs="宋体"/>
          <w:b/>
          <w:bCs/>
          <w:color w:val="FF0000"/>
          <w:sz w:val="52"/>
          <w:szCs w:val="52"/>
        </w:rPr>
      </w:pPr>
      <w:r>
        <w:rPr>
          <w:rFonts w:hint="eastAsia" w:ascii="仿宋_GB2312" w:hAnsi="仿宋_GB2312" w:eastAsia="仿宋_GB2312" w:cs="仿宋_GB2312"/>
          <w:b/>
          <w:bCs/>
          <w:color w:val="FF0000"/>
          <w:sz w:val="52"/>
          <w:szCs w:val="52"/>
        </w:rPr>
        <w:t>上海市长宁区投资促进办公室文件</w:t>
      </w:r>
      <w:r>
        <w:rPr>
          <w:rFonts w:hint="eastAsia" w:ascii="宋体" w:hAnsi="宋体" w:cs="宋体"/>
          <w:b/>
          <w:bCs/>
          <w:color w:val="FF0000"/>
          <w:sz w:val="52"/>
          <w:szCs w:val="52"/>
        </w:rPr>
        <w:t xml:space="preserve"> </w:t>
      </w:r>
    </w:p>
    <w:p>
      <w:pPr>
        <w:outlineLvl w:val="0"/>
        <w:rPr>
          <w:rFonts w:ascii="宋体" w:hAnsi="宋体" w:cs="宋体"/>
          <w:b/>
          <w:bCs/>
          <w:color w:val="FF0000"/>
          <w:sz w:val="44"/>
          <w:szCs w:val="44"/>
        </w:rPr>
      </w:pPr>
    </w:p>
    <w:p>
      <w:pPr>
        <w:ind w:firstLine="2560" w:firstLineChars="800"/>
        <w:outlineLvl w:val="0"/>
        <w:rPr>
          <w:rFonts w:ascii="宋体" w:hAnsi="宋体" w:cs="宋体"/>
          <w:b/>
          <w:bCs/>
          <w:color w:val="FF0000"/>
          <w:sz w:val="40"/>
          <w:szCs w:val="40"/>
          <w:highlight w:val="none"/>
        </w:rPr>
      </w:pPr>
      <w:r>
        <w:rPr>
          <w:rFonts w:hint="eastAsia" w:ascii="仿宋" w:hAnsi="仿宋" w:eastAsia="仿宋"/>
          <w:sz w:val="32"/>
          <w:szCs w:val="32"/>
          <w:highlight w:val="none"/>
        </w:rPr>
        <w:t>长投促办</w:t>
      </w:r>
      <w:r>
        <w:rPr>
          <w:rFonts w:hint="eastAsia" w:ascii="仿宋" w:hAnsi="仿宋" w:eastAsia="仿宋" w:cs="黑体"/>
          <w:bCs/>
          <w:sz w:val="32"/>
          <w:szCs w:val="32"/>
          <w:highlight w:val="none"/>
        </w:rPr>
        <w:t>〔2022〕</w:t>
      </w:r>
      <w:r>
        <w:rPr>
          <w:rFonts w:hint="eastAsia" w:ascii="仿宋" w:hAnsi="仿宋" w:eastAsia="仿宋" w:cs="黑体"/>
          <w:bCs/>
          <w:sz w:val="32"/>
          <w:szCs w:val="32"/>
          <w:highlight w:val="none"/>
          <w:lang w:val="en-US" w:eastAsia="zh-CN"/>
        </w:rPr>
        <w:t>9</w:t>
      </w:r>
      <w:r>
        <w:rPr>
          <w:rFonts w:hint="eastAsia" w:ascii="仿宋" w:hAnsi="仿宋" w:eastAsia="仿宋"/>
          <w:sz w:val="32"/>
          <w:szCs w:val="32"/>
          <w:highlight w:val="none"/>
        </w:rPr>
        <w:t>号</w:t>
      </w:r>
    </w:p>
    <w:p>
      <w:pPr>
        <w:rPr>
          <w:highlight w:val="none"/>
        </w:rPr>
      </w:pPr>
      <w:r>
        <w:rPr>
          <w:highlight w:val="none"/>
        </w:rPr>
        <mc:AlternateContent>
          <mc:Choice Requires="wps">
            <w:drawing>
              <wp:inline distT="0" distB="0" distL="114300" distR="114300">
                <wp:extent cx="5257800" cy="0"/>
                <wp:effectExtent l="0" t="0" r="0" b="0"/>
                <wp:docPr id="4" name="直接连接符 4"/>
                <wp:cNvGraphicFramePr/>
                <a:graphic xmlns:a="http://schemas.openxmlformats.org/drawingml/2006/main">
                  <a:graphicData uri="http://schemas.microsoft.com/office/word/2010/wordprocessingShape">
                    <wps:wsp>
                      <wps:cNvCnPr>
                        <a:cxnSpLocks noRot="1" noChangeShapeType="1"/>
                      </wps:cNvCnPr>
                      <wps:spPr bwMode="auto">
                        <a:xfrm>
                          <a:off x="0" y="0"/>
                          <a:ext cx="5257800" cy="0"/>
                        </a:xfrm>
                        <a:prstGeom prst="line">
                          <a:avLst/>
                        </a:prstGeom>
                        <a:noFill/>
                        <a:ln w="19050">
                          <a:solidFill>
                            <a:srgbClr val="FF0000"/>
                          </a:solidFill>
                          <a:round/>
                        </a:ln>
                        <a:effectLst/>
                      </wps:spPr>
                      <wps:bodyPr/>
                    </wps:wsp>
                  </a:graphicData>
                </a:graphic>
              </wp:inline>
            </w:drawing>
          </mc:Choice>
          <mc:Fallback>
            <w:pict>
              <v:line id="_x0000_s1026" o:spid="_x0000_s1026" o:spt="20" style="height:0pt;width:414pt;" filled="f" stroked="t" coordsize="21600,21600" o:gfxdata="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J7df50gAAAAIBAAAPAAAAAAAAAAEAIAAAACIA&#10;AABkcnMvZG93bnJldi54bWxQSwECFAAUAAAACACHTuJAfHR53NYBAAB1AwAADgAAAAAAAAABACAA&#10;AAAhAQAAZHJzL2Uyb0RvYy54bWxQSwUGAAAAAAYABgBZAQAAaQUAAAAA&#10;">
                <v:fill on="f" focussize="0,0"/>
                <v:stroke weight="1.5pt" color="#FF0000" joinstyle="round"/>
                <v:imagedata o:title=""/>
                <o:lock v:ext="edit" rotation="t" aspectratio="f"/>
                <w10:wrap type="none"/>
                <w10:anchorlock/>
              </v:line>
            </w:pict>
          </mc:Fallback>
        </mc:AlternateContent>
      </w:r>
    </w:p>
    <w:p>
      <w:pPr>
        <w:jc w:val="center"/>
        <w:rPr>
          <w:rFonts w:ascii="宋体"/>
          <w:sz w:val="36"/>
          <w:szCs w:val="36"/>
          <w:highlight w:val="none"/>
        </w:rPr>
      </w:pPr>
    </w:p>
    <w:p>
      <w:pPr>
        <w:jc w:val="center"/>
        <w:rPr>
          <w:rFonts w:ascii="宋体"/>
          <w:sz w:val="36"/>
          <w:szCs w:val="36"/>
          <w:highlight w:val="none"/>
        </w:rPr>
      </w:pPr>
    </w:p>
    <w:p>
      <w:pPr>
        <w:jc w:val="both"/>
        <w:rPr>
          <w:rFonts w:ascii="方正大标宋简体" w:hAnsi="方正大标宋简体" w:eastAsia="方正大标宋简体" w:cs="方正大标宋简体"/>
          <w:sz w:val="40"/>
          <w:szCs w:val="40"/>
          <w:highlight w:val="none"/>
        </w:rPr>
      </w:pPr>
      <w:r>
        <w:rPr>
          <w:rFonts w:hint="eastAsia" w:ascii="方正大标宋简体" w:hAnsi="方正大标宋简体" w:eastAsia="方正大标宋简体" w:cs="方正大标宋简体"/>
          <w:sz w:val="40"/>
          <w:szCs w:val="40"/>
          <w:highlight w:val="none"/>
        </w:rPr>
        <w:t>长宁区投促办关于对区政协十</w:t>
      </w:r>
      <w:r>
        <w:rPr>
          <w:rFonts w:hint="eastAsia" w:ascii="方正大标宋简体" w:hAnsi="方正大标宋简体" w:eastAsia="方正大标宋简体" w:cs="方正大标宋简体"/>
          <w:sz w:val="40"/>
          <w:szCs w:val="40"/>
          <w:highlight w:val="none"/>
          <w:lang w:eastAsia="zh-CN"/>
        </w:rPr>
        <w:t>五</w:t>
      </w:r>
      <w:r>
        <w:rPr>
          <w:rFonts w:hint="eastAsia" w:ascii="方正大标宋简体" w:hAnsi="方正大标宋简体" w:eastAsia="方正大标宋简体" w:cs="方正大标宋简体"/>
          <w:sz w:val="40"/>
          <w:szCs w:val="40"/>
          <w:highlight w:val="none"/>
        </w:rPr>
        <w:t>届</w:t>
      </w:r>
      <w:r>
        <w:rPr>
          <w:rFonts w:hint="eastAsia" w:ascii="方正大标宋简体" w:hAnsi="方正大标宋简体" w:eastAsia="方正大标宋简体" w:cs="方正大标宋简体"/>
          <w:sz w:val="40"/>
          <w:szCs w:val="40"/>
          <w:highlight w:val="none"/>
          <w:lang w:eastAsia="zh-CN"/>
        </w:rPr>
        <w:t>一</w:t>
      </w:r>
      <w:r>
        <w:rPr>
          <w:rFonts w:hint="eastAsia" w:ascii="方正大标宋简体" w:hAnsi="方正大标宋简体" w:eastAsia="方正大标宋简体" w:cs="方正大标宋简体"/>
          <w:sz w:val="40"/>
          <w:szCs w:val="40"/>
          <w:highlight w:val="none"/>
        </w:rPr>
        <w:t>次会议</w:t>
      </w:r>
    </w:p>
    <w:p>
      <w:pPr>
        <w:jc w:val="center"/>
        <w:rPr>
          <w:rFonts w:ascii="方正大标宋简体" w:hAnsi="方正大标宋简体" w:eastAsia="方正大标宋简体" w:cs="方正大标宋简体"/>
          <w:sz w:val="40"/>
          <w:szCs w:val="40"/>
          <w:highlight w:val="none"/>
        </w:rPr>
      </w:pPr>
      <w:bookmarkStart w:id="0" w:name="_GoBack"/>
      <w:r>
        <w:rPr>
          <w:rFonts w:hint="eastAsia" w:ascii="方正大标宋简体" w:hAnsi="方正大标宋简体" w:eastAsia="方正大标宋简体" w:cs="方正大标宋简体"/>
          <w:sz w:val="40"/>
          <w:szCs w:val="40"/>
          <w:highlight w:val="none"/>
        </w:rPr>
        <w:t>第0</w:t>
      </w:r>
      <w:r>
        <w:rPr>
          <w:rFonts w:hint="eastAsia" w:ascii="方正大标宋简体" w:hAnsi="方正大标宋简体" w:eastAsia="方正大标宋简体" w:cs="方正大标宋简体"/>
          <w:sz w:val="40"/>
          <w:szCs w:val="40"/>
          <w:highlight w:val="none"/>
          <w:lang w:val="en-US" w:eastAsia="zh-CN"/>
        </w:rPr>
        <w:t>17</w:t>
      </w:r>
      <w:r>
        <w:rPr>
          <w:rFonts w:hint="eastAsia" w:ascii="方正大标宋简体" w:hAnsi="方正大标宋简体" w:eastAsia="方正大标宋简体" w:cs="方正大标宋简体"/>
          <w:sz w:val="40"/>
          <w:szCs w:val="40"/>
          <w:highlight w:val="none"/>
        </w:rPr>
        <w:t>号提案的答复函</w:t>
      </w:r>
    </w:p>
    <w:bookmarkEnd w:id="0"/>
    <w:p>
      <w:pPr>
        <w:pStyle w:val="6"/>
      </w:pPr>
    </w:p>
    <w:p/>
    <w:p>
      <w:pPr>
        <w:pStyle w:val="6"/>
        <w:rPr>
          <w:rFonts w:hint="eastAsia" w:ascii="仿宋" w:hAnsi="仿宋" w:eastAsia="仿宋"/>
          <w:sz w:val="32"/>
          <w:szCs w:val="32"/>
          <w:lang w:eastAsia="zh-CN"/>
        </w:rPr>
      </w:pPr>
      <w:r>
        <w:rPr>
          <w:rFonts w:hint="eastAsia" w:ascii="仿宋" w:hAnsi="仿宋" w:eastAsia="仿宋"/>
          <w:sz w:val="32"/>
          <w:szCs w:val="32"/>
        </w:rPr>
        <w:t>办理结果：解决或采纳</w:t>
      </w:r>
      <w:r>
        <w:rPr>
          <w:rFonts w:hint="eastAsia" w:ascii="仿宋" w:hAnsi="仿宋" w:eastAsia="仿宋"/>
          <w:sz w:val="32"/>
          <w:szCs w:val="32"/>
        </w:rPr>
        <w:tab/>
      </w:r>
      <w:r>
        <w:rPr>
          <w:rFonts w:hint="eastAsia" w:ascii="仿宋" w:hAnsi="仿宋" w:eastAsia="仿宋"/>
          <w:sz w:val="32"/>
          <w:szCs w:val="32"/>
        </w:rPr>
        <w:t xml:space="preserve">                签发人：</w:t>
      </w:r>
      <w:r>
        <w:rPr>
          <w:rFonts w:hint="eastAsia" w:ascii="仿宋" w:hAnsi="仿宋" w:eastAsia="仿宋"/>
          <w:sz w:val="32"/>
          <w:szCs w:val="32"/>
          <w:lang w:eastAsia="zh-CN"/>
        </w:rPr>
        <w:t>游</w:t>
      </w:r>
      <w:r>
        <w:rPr>
          <w:rFonts w:hint="eastAsia" w:ascii="仿宋" w:hAnsi="仿宋" w:eastAsia="仿宋"/>
          <w:sz w:val="32"/>
          <w:szCs w:val="32"/>
        </w:rPr>
        <w:t xml:space="preserve">  </w:t>
      </w:r>
      <w:r>
        <w:rPr>
          <w:rFonts w:hint="eastAsia" w:ascii="仿宋" w:hAnsi="仿宋" w:eastAsia="仿宋"/>
          <w:sz w:val="32"/>
          <w:szCs w:val="32"/>
          <w:lang w:eastAsia="zh-CN"/>
        </w:rPr>
        <w:t>雁</w:t>
      </w:r>
    </w:p>
    <w:p>
      <w:pPr>
        <w:pStyle w:val="6"/>
        <w:rPr>
          <w:rFonts w:ascii="仿宋" w:hAnsi="仿宋" w:eastAsia="仿宋"/>
          <w:b/>
          <w:bCs/>
          <w:sz w:val="32"/>
          <w:szCs w:val="32"/>
        </w:rPr>
      </w:pPr>
      <w:r>
        <w:rPr>
          <w:rFonts w:hint="eastAsia" w:ascii="仿宋" w:hAnsi="仿宋" w:eastAsia="仿宋"/>
          <w:b/>
          <w:bCs/>
          <w:sz w:val="32"/>
          <w:szCs w:val="32"/>
        </w:rPr>
        <w:t xml:space="preserve"> </w:t>
      </w:r>
    </w:p>
    <w:p>
      <w:pPr>
        <w:spacing w:line="560" w:lineRule="exact"/>
        <w:rPr>
          <w:rFonts w:hint="eastAsia" w:ascii="仿宋_GB2312" w:hAnsi="仿宋" w:eastAsia="仿宋_GB2312" w:cs="宋体"/>
          <w:sz w:val="32"/>
          <w:szCs w:val="32"/>
        </w:rPr>
      </w:pPr>
      <w:r>
        <w:rPr>
          <w:rFonts w:hint="eastAsia" w:ascii="仿宋_GB2312" w:hAnsi="仿宋" w:eastAsia="仿宋_GB2312" w:cs="宋体"/>
          <w:sz w:val="32"/>
          <w:szCs w:val="32"/>
        </w:rPr>
        <w:t>民建长宁区委：</w:t>
      </w:r>
    </w:p>
    <w:p>
      <w:pPr>
        <w:spacing w:line="560" w:lineRule="exact"/>
        <w:ind w:firstLine="640" w:firstLineChars="200"/>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贵委提出的“关于加快促进长宁数字经济发展，全面提速使用数字货币应用场景多元化的建议”的提案收悉，经研究，现将办理情况答复如下：</w:t>
      </w:r>
    </w:p>
    <w:p>
      <w:pPr>
        <w:spacing w:line="560" w:lineRule="exact"/>
        <w:ind w:firstLine="640" w:firstLineChars="200"/>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提案根据“数字长宁”发展及城市数字化转型工作，总结分析了目前数字人民币使用面临使用场景缺乏，推广宣传力度不够，相关立法有待完善等问题及不足，并就打造数字经济、推进数字人民币应用场景发力点、如何提高银企等单位参与度、立法民主等提出了真知灼见。</w:t>
      </w:r>
    </w:p>
    <w:p>
      <w:pPr>
        <w:spacing w:line="560" w:lineRule="exact"/>
        <w:ind w:firstLine="640" w:firstLineChars="200"/>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期间，我办高度重视做好017号提案的办理答复工作，多次会同区商务委、区科委、区民政局、区司法局及虹桥街道，通过走访、调研、座谈、电话、邮件等多种方式，充分听取贵委的意见建议，为我们明确下一阶段工作发力点，推动科技创新和数字金融发展提供了重要参考。</w:t>
      </w:r>
    </w:p>
    <w:p>
      <w:pPr>
        <w:spacing w:line="56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一</w:t>
      </w:r>
      <w:r>
        <w:rPr>
          <w:rFonts w:ascii="黑体" w:hAnsi="黑体" w:eastAsia="黑体" w:cs="仿宋"/>
          <w:sz w:val="32"/>
          <w:szCs w:val="32"/>
        </w:rPr>
        <w:t>、</w:t>
      </w:r>
      <w:r>
        <w:rPr>
          <w:rFonts w:hint="eastAsia" w:ascii="黑体" w:hAnsi="黑体" w:eastAsia="黑体" w:cs="仿宋"/>
          <w:sz w:val="32"/>
          <w:szCs w:val="32"/>
        </w:rPr>
        <w:t xml:space="preserve">有序推动数字人民币试点工作 </w:t>
      </w:r>
    </w:p>
    <w:p>
      <w:pPr>
        <w:spacing w:line="560" w:lineRule="exact"/>
        <w:ind w:firstLine="640" w:firstLineChars="200"/>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1、围绕市委、市政府关于全面推进上海城市数字化转型的决策部署，我区以推动高质量发展、创造高品质生活、实现高效能治理为目标导向，重点实施“3320”数字战略，筹推进经济、生活和治理领域数字化转型。2021年，我区根据上海市数字人民币试点工作总体要求，遵循人民银行明确的“先易后难、先内后外、安全可控”原则，分段推进数字人民币试点工作，在医疗支付、弱网环境、交通出行、民生消费、线上线下消费、银发等场景开拓、复制、推广，更在医疗支付及交通出行等落地全国首发场景。目前，数字人民币已在批发零售、餐饮文旅、政务缴费等领域形成一批涵盖</w:t>
      </w:r>
      <w:r>
        <w:rPr>
          <w:rFonts w:hint="eastAsia" w:ascii="仿宋_GB2312" w:hAnsi="仿宋_GB2312" w:eastAsia="仿宋_GB2312" w:cs="仿宋_GB2312"/>
          <w:color w:val="000000"/>
          <w:kern w:val="0"/>
          <w:sz w:val="32"/>
          <w:szCs w:val="32"/>
          <w:highlight w:val="none"/>
          <w:lang w:val="en-US" w:eastAsia="zh-CN" w:bidi="ar"/>
        </w:rPr>
        <w:fldChar w:fldCharType="begin"/>
      </w:r>
      <w:r>
        <w:rPr>
          <w:rFonts w:hint="eastAsia" w:ascii="仿宋_GB2312" w:hAnsi="仿宋_GB2312" w:eastAsia="仿宋_GB2312" w:cs="仿宋_GB2312"/>
          <w:color w:val="000000"/>
          <w:kern w:val="0"/>
          <w:sz w:val="32"/>
          <w:szCs w:val="32"/>
          <w:highlight w:val="none"/>
          <w:lang w:val="en-US" w:eastAsia="zh-CN" w:bidi="ar"/>
        </w:rPr>
        <w:instrText xml:space="preserve"> HYPERLINK "https://finance.sina.com.cn/realstock/company/sz300959/nc.shtml" \t "http://finance.sina.com.cn/jjxw/2022-04-07/_blank" </w:instrText>
      </w:r>
      <w:r>
        <w:rPr>
          <w:rFonts w:hint="eastAsia" w:ascii="仿宋_GB2312" w:hAnsi="仿宋_GB2312" w:eastAsia="仿宋_GB2312" w:cs="仿宋_GB2312"/>
          <w:color w:val="000000"/>
          <w:kern w:val="0"/>
          <w:sz w:val="32"/>
          <w:szCs w:val="32"/>
          <w:highlight w:val="none"/>
          <w:lang w:val="en-US" w:eastAsia="zh-CN" w:bidi="ar"/>
        </w:rPr>
        <w:fldChar w:fldCharType="separate"/>
      </w:r>
      <w:r>
        <w:rPr>
          <w:rFonts w:hint="eastAsia" w:ascii="仿宋_GB2312" w:hAnsi="仿宋_GB2312" w:eastAsia="仿宋_GB2312" w:cs="仿宋_GB2312"/>
          <w:color w:val="000000"/>
          <w:kern w:val="0"/>
          <w:sz w:val="32"/>
          <w:szCs w:val="32"/>
          <w:highlight w:val="none"/>
          <w:lang w:val="en-US" w:eastAsia="zh-CN" w:bidi="ar"/>
        </w:rPr>
        <w:t>线上线下</w:t>
      </w:r>
      <w:r>
        <w:rPr>
          <w:rFonts w:hint="eastAsia" w:ascii="仿宋_GB2312" w:hAnsi="仿宋_GB2312" w:eastAsia="仿宋_GB2312" w:cs="仿宋_GB2312"/>
          <w:color w:val="000000"/>
          <w:kern w:val="0"/>
          <w:sz w:val="32"/>
          <w:szCs w:val="32"/>
          <w:highlight w:val="none"/>
          <w:lang w:val="en-US" w:eastAsia="zh-CN" w:bidi="ar"/>
        </w:rPr>
        <w:fldChar w:fldCharType="end"/>
      </w:r>
      <w:r>
        <w:rPr>
          <w:rFonts w:hint="eastAsia" w:ascii="仿宋_GB2312" w:hAnsi="仿宋_GB2312" w:eastAsia="仿宋_GB2312" w:cs="仿宋_GB2312"/>
          <w:color w:val="000000"/>
          <w:kern w:val="0"/>
          <w:sz w:val="32"/>
          <w:szCs w:val="32"/>
          <w:highlight w:val="none"/>
          <w:lang w:val="en-US" w:eastAsia="zh-CN" w:bidi="ar"/>
        </w:rPr>
        <w:t>可复制可推广的应用模式，截至去年底，数字人民币在全部试点区域内的支付场景已超过808万，开立个人钱包达2.6亿个，交易金额达870亿，2022北京冬奥会、冬残奥会场景等重大试点项目圆满成功，参与试点的用户、商户、交易规模稳步增长。日前，由人民银行召开的数字人民币研发试点工作座谈会上提出，有序扩大试点范围，在现有试点地区基础上增加天津市、重庆市、广东省广州市、福建省福州市和厦门市、浙江省承办亚运会的6个城市作为试点地区，试点城市及范围愈发扩大。</w:t>
      </w:r>
    </w:p>
    <w:p>
      <w:pPr>
        <w:spacing w:line="560" w:lineRule="exact"/>
        <w:ind w:firstLine="640" w:firstLineChars="200"/>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随着数字人民币应用试点场景的全面铺开，上海的试点日益多元化，应用场景小到电瓶车充电，大到最尖端应用；适用人群从中青年消费主体到助力老年人跨越“数字鸿沟”、境外人士等跨境人民币服务；示范点从中心商圈到“十五分钟生活圈”到园区楼宇——“嗨购长宁”等活动，中山公园商圈、虹桥商圈在零售商场基本完成数字人民币全覆盖；以虹桥街道为老服务中心为代表的养老服务体系，自社区食堂到日托照料点到周边居民健身房的场景覆盖，以点带面不仅丰富了老年人数字人民币的使用应用场景，更作为社区化示范窗口推及区内相关生活数字化升级复制；“民心”早餐示范点、“楼门口”午餐示范点等应用场景不仅提升了白领日常消费便捷性，更积极助力一刻钟便民生活圈数字化建设，提升社区、街区、园区的数字化、智能化应用水平。</w:t>
      </w:r>
    </w:p>
    <w:p>
      <w:pPr>
        <w:spacing w:line="560" w:lineRule="exact"/>
        <w:ind w:firstLine="640" w:firstLineChars="200"/>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3、上海作为第二批试点城市，围绕与央行数字货币研究研所合作项目及上海金融科技有限公司战略定位，立足于“智慧城市、社会治理”中心建设，与首批试点城市差异化延展，拓展数字人民币应用功能，丰富应用场景，探索开展政务民生、跨境贸易等应用场景试点，统筹长三角生态绿色一体化发展。2022年1月4日，上海首座区域城市数字化转型成果与“未来城市”体验的一站式场馆“数字长宁体验馆”投入试运行。在数字人民币体验区，“冬奥会同系列”数字人民币外币兑换机以硬钱包形式丰富跨境-外国人境内使用应用场景。不仅以进博会场景尝鲜，亦为境外人员入境货币使用提供便利，更为冬奥场景先行先试。随着数字人民币试点的推进，由央行数字货币研究所牵头、运营机构共建的“数字人民币”App迎来重磅更新，在技术、体验感等多方面不断完善优化。</w:t>
      </w:r>
    </w:p>
    <w:p>
      <w:pPr>
        <w:spacing w:line="560" w:lineRule="exact"/>
        <w:ind w:firstLine="640" w:firstLineChars="200"/>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4、遵循上海市数字人民币试点工作要求，为积极、稳妥、有序做好试点工作，注重舆情管理，所有宣传工作由人民银行总行统一安排。在推进数字人民币应用试点中，审慎宣传，即在试点人群、试点场景中由试点金融机构指派专人协调各组织方参与方正确引导，如专题讲座、志愿者之家、老年课堂等各类形式正向引导，提高数字人民币知晓度的同时进行调研，为升级数字人民币提策提议。</w:t>
      </w:r>
    </w:p>
    <w:p>
      <w:pPr>
        <w:spacing w:line="56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二</w:t>
      </w:r>
      <w:r>
        <w:rPr>
          <w:rFonts w:ascii="黑体" w:hAnsi="黑体" w:eastAsia="黑体" w:cs="仿宋"/>
          <w:sz w:val="32"/>
          <w:szCs w:val="32"/>
        </w:rPr>
        <w:t>、</w:t>
      </w:r>
      <w:r>
        <w:rPr>
          <w:rFonts w:hint="eastAsia" w:ascii="黑体" w:hAnsi="黑体" w:eastAsia="黑体" w:cs="仿宋"/>
          <w:sz w:val="32"/>
          <w:szCs w:val="32"/>
        </w:rPr>
        <w:t>充分发挥“数字长宁”品牌</w:t>
      </w:r>
    </w:p>
    <w:p>
      <w:pPr>
        <w:pStyle w:val="2"/>
        <w:numPr>
          <w:ilvl w:val="0"/>
          <w:numId w:val="1"/>
        </w:numPr>
        <w:ind w:firstLine="640" w:firstLineChars="200"/>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加快布局大数据应用、区块链等重点领域，推动金融服务业创新发展。近年来，长宁坚持创新驱动发展，始终以开放包容的态度鼓励新技术、新业态的发展。3+3产业政策的修订完善，扶持产业领域从人工智能产业拓展至人工智能、区块链及协同创新产业，鼓励功能性平台和新型研发机构建设，进一步加大力度补足金融服务业短板，持续深化产融结合，提升金融服务实体经济质效。集聚了如宁普时代、算话智能、保利通信等一批有影响力和规模的金融科技企业入驻。</w:t>
      </w:r>
    </w:p>
    <w:p>
      <w:pPr>
        <w:pStyle w:val="2"/>
        <w:numPr>
          <w:ilvl w:val="0"/>
          <w:numId w:val="1"/>
        </w:numPr>
        <w:ind w:firstLine="640" w:firstLineChars="200"/>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加快打造以区块链技术为主导的应用示范区。上海金融科技有限公司定位为智慧城市和数字治理赋能中心，以上海全面推进数字化转型为契机，充分发展供应链金融、跨境贸易等业务形态，尝试跨境电商、智慧商业等突破型创新业务。2021年，我区成功入选由中央网信办会同相关部委组织国家区块链创新应用试点特色领域（“区块链+贸易金融”），积极推动区块链技术在金融领域创新应用。以数字化推动金融业效率提升，增强机构服务能级，依托央行数研所项目溢出效应，积极推动贸易金融区块链平台落地长宁，加快区块链技术应用领军企业、保险服务综合平台等优质企业集群汇聚，不断吸引和鼓励相关金融科技企业优先将长宁作为各类应用场景的示范田，将“数字服务”作为标志性评选重点考量因素，用好“两张网”、“社区云”“一网通办”等数字平台，以产业政策为抓手、品牌宣传推广为侧芽、政府平台为载体，助力相关产业持续发力。</w:t>
      </w:r>
    </w:p>
    <w:p>
      <w:pPr>
        <w:pStyle w:val="2"/>
        <w:numPr>
          <w:ilvl w:val="0"/>
          <w:numId w:val="1"/>
        </w:numPr>
        <w:ind w:firstLine="640" w:firstLineChars="200"/>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引社会资本“活水”促企业转型升级。区金融办牵头制定《长宁区支持金融服务业发展和金融科技创新的实施办法》，其中对金融创新和金融科技的扶持力度较大，营造了良好的政策环境。除此之外，区“营商通”服务平台上线运行，实现“一屏观天下”，以信息技术赋能治理水平提升。紧抓上海科创板试点注册制的重大机遇，鼓励技术密集型企业探索上市，在资本市场撬动更大现金流，助力企业持续发展壮大。同时进一步发挥我区相关领域产业引导基金积极作用，对我区FT账户扩围10，提供国际贸易支付结算的便利。同时积极撮合银企合作，上线“企融通”线上平台、组织“企融谈”活动、推出“长宁企业贷”“银团贷”等金融产品，切实落实金融为企业纾困。不仅在更宏观层面上实现金融为企业“输血”，还能培育企业自主“造血”能力。 </w:t>
      </w:r>
    </w:p>
    <w:p>
      <w:pPr>
        <w:spacing w:line="56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三</w:t>
      </w:r>
      <w:r>
        <w:rPr>
          <w:rFonts w:ascii="黑体" w:hAnsi="黑体" w:eastAsia="黑体" w:cs="仿宋"/>
          <w:sz w:val="32"/>
          <w:szCs w:val="32"/>
        </w:rPr>
        <w:t>、</w:t>
      </w:r>
      <w:r>
        <w:rPr>
          <w:rFonts w:hint="eastAsia" w:ascii="黑体" w:hAnsi="黑体" w:eastAsia="黑体" w:cs="仿宋"/>
          <w:sz w:val="32"/>
          <w:szCs w:val="32"/>
        </w:rPr>
        <w:t>营造良好法治环境</w:t>
      </w:r>
    </w:p>
    <w:p>
      <w:pPr>
        <w:pStyle w:val="2"/>
        <w:numPr>
          <w:ilvl w:val="0"/>
          <w:numId w:val="0"/>
        </w:numPr>
        <w:ind w:firstLine="640" w:firstLineChars="200"/>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货币的价值成立在现代跟信任一词紧密挂钩，当信任成立，货币才有了脱离于材料的价值存在，数字人民币的存在就是要让人民币在脱离实体后也能有价值。针对数字人民币作为法币仍旧面临法律主体地位及“法偿性”以及所有权转移问题在司法解释方面可能存在的漏洞等问题，加强多部门联动，依托区司法局法律服务机构和律师的专业优势、区金融办在金融领域的专项特长、充分发挥虹桥街道“基层立法点”纽带作用。一是深入开展数字货币法偿性课题研究。整合区司法局、区商务委、区文旅局、区民政局等部门的资源优势，通过举办论坛等形式，围绕“城市数字化转型法律实务”等主题，积极引导律师、专家、学者与政府官员开展以数字货币发展、数字货币法律风险规避等专题研讨，推动形成一批有深度、可推广的研讨成果。二是加强数字经济领域法律人才培养。立足长宁区律工委青年律师涉外人才培训项目，重点突出数字经济、前沿数字科技创新相关法律学科领域人才培养，建立数字经济领域专业法律人才库，培养一批数字经济领域“领军型”青年法律人才。三是深入开展社会面普法宣传。围绕“八五普法”，依托“楼门口”法治营商项目、企业法治体检等平台，组织发动区域律师、居委会法律顾问等广泛宣传数字经济、数字货币领域法律知识普及公益普法，普及数字货币法律常识，提升企业及群众的法治意识和风险防范能力，为加快促进长宁数字经济发展提供优质高效的法律服务保障，营造良好的法治环境。通过组织开展课题研究，加强专项领域人才培养，深入普法宣传等提升法律服务能级，为加快促进长宁数字经济发展提供优质高效的法律服务保障。</w:t>
      </w:r>
    </w:p>
    <w:p>
      <w:pPr>
        <w:pStyle w:val="2"/>
        <w:numPr>
          <w:ilvl w:val="0"/>
          <w:numId w:val="0"/>
        </w:numPr>
        <w:ind w:firstLine="640" w:firstLineChars="200"/>
        <w:rPr>
          <w:rFonts w:hint="eastAsia" w:ascii="仿宋_GB2312" w:hAnsi="仿宋_GB2312" w:eastAsia="仿宋_GB2312" w:cs="仿宋_GB2312"/>
          <w:color w:val="000000"/>
          <w:kern w:val="0"/>
          <w:sz w:val="32"/>
          <w:szCs w:val="32"/>
          <w:highlight w:val="none"/>
          <w:lang w:val="en-US" w:eastAsia="zh-CN" w:bidi="ar"/>
        </w:rPr>
      </w:pPr>
    </w:p>
    <w:p>
      <w:pPr>
        <w:spacing w:line="520" w:lineRule="exact"/>
        <w:ind w:right="560"/>
        <w:jc w:val="righ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 w:eastAsia="仿宋_GB2312" w:cs="宋体"/>
          <w:sz w:val="32"/>
          <w:szCs w:val="32"/>
        </w:rPr>
        <w:t xml:space="preserve">  </w:t>
      </w:r>
      <w:r>
        <w:rPr>
          <w:rFonts w:hint="eastAsia" w:ascii="仿宋_GB2312" w:hAnsi="仿宋_GB2312" w:eastAsia="仿宋_GB2312" w:cs="仿宋_GB2312"/>
          <w:color w:val="000000"/>
          <w:kern w:val="0"/>
          <w:sz w:val="32"/>
          <w:szCs w:val="32"/>
          <w:highlight w:val="none"/>
          <w:lang w:val="en-US" w:eastAsia="zh-CN" w:bidi="ar"/>
        </w:rPr>
        <w:t xml:space="preserve"> 上海市长宁区投资促进办公室</w:t>
      </w:r>
    </w:p>
    <w:p>
      <w:pPr>
        <w:spacing w:line="520" w:lineRule="exact"/>
        <w:ind w:right="840"/>
        <w:jc w:val="righ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2022年4月20日</w:t>
      </w:r>
    </w:p>
    <w:p>
      <w:pPr>
        <w:pStyle w:val="2"/>
        <w:numPr>
          <w:ilvl w:val="0"/>
          <w:numId w:val="0"/>
        </w:numPr>
        <w:ind w:firstLine="640" w:firstLineChars="200"/>
        <w:rPr>
          <w:rFonts w:hint="eastAsia" w:ascii="仿宋_GB2312" w:hAnsi="仿宋_GB2312" w:eastAsia="仿宋_GB2312" w:cs="仿宋_GB2312"/>
          <w:color w:val="000000"/>
          <w:kern w:val="0"/>
          <w:sz w:val="32"/>
          <w:szCs w:val="32"/>
          <w:highlight w:val="none"/>
          <w:lang w:val="en-US" w:eastAsia="zh-CN" w:bidi="ar"/>
        </w:rPr>
      </w:pPr>
    </w:p>
    <w:p>
      <w:pPr>
        <w:pStyle w:val="2"/>
        <w:numPr>
          <w:ilvl w:val="0"/>
          <w:numId w:val="0"/>
        </w:numPr>
        <w:rPr>
          <w:rFonts w:hint="eastAsia" w:ascii="仿宋_GB2312" w:hAnsi="仿宋_GB2312" w:eastAsia="仿宋_GB2312" w:cs="仿宋_GB2312"/>
          <w:color w:val="000000"/>
          <w:kern w:val="0"/>
          <w:sz w:val="32"/>
          <w:szCs w:val="32"/>
          <w:highlight w:val="none"/>
          <w:lang w:val="en-US" w:eastAsia="zh-CN" w:bidi="ar"/>
        </w:rPr>
      </w:pPr>
    </w:p>
    <w:p>
      <w:pPr>
        <w:pStyle w:val="6"/>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rPr>
        <w:t>（此件公开发布</w:t>
      </w:r>
      <w:r>
        <w:rPr>
          <w:rFonts w:hint="eastAsia" w:ascii="仿宋_GB2312" w:hAnsi="仿宋_GB2312" w:eastAsia="仿宋_GB2312" w:cs="仿宋_GB2312"/>
          <w:sz w:val="30"/>
          <w:szCs w:val="30"/>
          <w:highlight w:val="none"/>
        </w:rPr>
        <w:t>）</w:t>
      </w:r>
    </w:p>
    <w:p>
      <w:pPr>
        <w:spacing w:line="520" w:lineRule="exact"/>
        <w:rPr>
          <w:rFonts w:ascii="仿宋" w:hAnsi="仿宋" w:eastAsia="仿宋"/>
          <w:sz w:val="32"/>
          <w:szCs w:val="32"/>
          <w:highlight w:val="none"/>
          <w:u w:val="single"/>
        </w:rPr>
      </w:pPr>
      <w:r>
        <w:rPr>
          <w:rFonts w:hint="eastAsia" w:ascii="仿宋" w:hAnsi="仿宋" w:eastAsia="仿宋"/>
          <w:sz w:val="32"/>
          <w:szCs w:val="32"/>
          <w:highlight w:val="none"/>
          <w:u w:val="single"/>
        </w:rPr>
        <w:t xml:space="preserve">                                                    </w:t>
      </w:r>
    </w:p>
    <w:p>
      <w:pPr>
        <w:pStyle w:val="6"/>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上海市长宁区投资促进办公室      202</w:t>
      </w:r>
      <w:r>
        <w:rPr>
          <w:rFonts w:hint="eastAsia" w:ascii="仿宋_GB2312" w:hAnsi="仿宋_GB2312" w:eastAsia="仿宋_GB2312" w:cs="仿宋_GB2312"/>
          <w:sz w:val="32"/>
          <w:szCs w:val="32"/>
          <w:highlight w:val="none"/>
          <w:u w:val="single"/>
          <w:lang w:val="en-US" w:eastAsia="zh-CN"/>
        </w:rPr>
        <w:t>2</w:t>
      </w:r>
      <w:r>
        <w:rPr>
          <w:rFonts w:hint="eastAsia" w:ascii="仿宋_GB2312" w:hAnsi="仿宋_GB2312" w:eastAsia="仿宋_GB2312" w:cs="仿宋_GB2312"/>
          <w:sz w:val="32"/>
          <w:szCs w:val="32"/>
          <w:highlight w:val="none"/>
          <w:u w:val="single"/>
        </w:rPr>
        <w:t>年</w:t>
      </w:r>
      <w:r>
        <w:rPr>
          <w:rFonts w:hint="eastAsia" w:ascii="仿宋_GB2312" w:hAnsi="仿宋_GB2312" w:eastAsia="仿宋_GB2312" w:cs="仿宋_GB2312"/>
          <w:sz w:val="32"/>
          <w:szCs w:val="32"/>
          <w:highlight w:val="none"/>
          <w:u w:val="single"/>
          <w:lang w:val="en-US" w:eastAsia="zh-CN"/>
        </w:rPr>
        <w:t>6</w:t>
      </w:r>
      <w:r>
        <w:rPr>
          <w:rFonts w:hint="eastAsia" w:ascii="仿宋_GB2312" w:hAnsi="仿宋_GB2312" w:eastAsia="仿宋_GB2312" w:cs="仿宋_GB2312"/>
          <w:sz w:val="32"/>
          <w:szCs w:val="32"/>
          <w:highlight w:val="none"/>
          <w:u w:val="single"/>
        </w:rPr>
        <w:t>月</w:t>
      </w:r>
      <w:r>
        <w:rPr>
          <w:rFonts w:hint="eastAsia" w:ascii="仿宋_GB2312" w:hAnsi="仿宋_GB2312" w:eastAsia="仿宋_GB2312" w:cs="仿宋_GB2312"/>
          <w:sz w:val="32"/>
          <w:szCs w:val="32"/>
          <w:highlight w:val="none"/>
          <w:u w:val="single"/>
          <w:lang w:val="en-US" w:eastAsia="zh-CN"/>
        </w:rPr>
        <w:t>2</w:t>
      </w:r>
      <w:r>
        <w:rPr>
          <w:rFonts w:hint="eastAsia" w:ascii="仿宋_GB2312" w:hAnsi="仿宋_GB2312" w:eastAsia="仿宋_GB2312" w:cs="仿宋_GB2312"/>
          <w:sz w:val="32"/>
          <w:szCs w:val="32"/>
          <w:highlight w:val="none"/>
          <w:u w:val="single"/>
        </w:rPr>
        <w:t>日印发</w:t>
      </w: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方正大标宋简体">
    <w:altName w:val="微软雅黑"/>
    <w:panose1 w:val="02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- 5 -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- 5 -</w:t>
                    </w:r>
                    <w:r>
                      <w:rPr>
                        <w:rFonts w:hint="eastAsia" w:ascii="仿宋" w:hAnsi="仿宋" w:eastAsia="仿宋" w:cs="仿宋"/>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DCB42"/>
    <w:multiLevelType w:val="singleLevel"/>
    <w:tmpl w:val="46ADCB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FF30B"/>
    <w:rsid w:val="0A6E2A9C"/>
    <w:rsid w:val="3F9FF30B"/>
    <w:rsid w:val="729F9523"/>
    <w:rsid w:val="7DFFB6FF"/>
    <w:rsid w:val="BBA7C15A"/>
    <w:rsid w:val="BEBDBA31"/>
    <w:rsid w:val="E7F7B495"/>
    <w:rsid w:val="EFB3D6BB"/>
    <w:rsid w:val="F6E77B3C"/>
    <w:rsid w:val="F7EB55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PlainText"/>
    <w:basedOn w:val="1"/>
    <w:qFormat/>
    <w:uiPriority w:val="0"/>
    <w:pPr>
      <w:textAlignment w:val="baseline"/>
    </w:pPr>
    <w:rPr>
      <w:rFonts w:ascii="宋体" w:hAnsi="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Office_10.8.2.6515_F1E327BC-269C-435d-A152-05C5408002CA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2023-02-02T15:55:00Z</dcterms:created>
  <dc:creator>user</dc:creator>
  <cp:lastModifiedBy>Administrator</cp:lastModifiedBy>
  <dcterms:modified xsi:type="dcterms:W3CDTF">2023-02-03T03:22:24Z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2052-10.8.2.6515</vt:lpwstr>
  </property>
</Properties>
</file>