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大标宋简体"/>
          <w:color w:val="auto"/>
          <w:sz w:val="44"/>
          <w:szCs w:val="44"/>
          <w:lang w:eastAsia="zh-CN"/>
        </w:rPr>
      </w:pPr>
      <w:r>
        <w:rPr>
          <w:rFonts w:hint="eastAsia" w:ascii="宋体" w:hAnsi="宋体" w:eastAsia="方正大标宋简体"/>
          <w:color w:val="auto"/>
          <w:sz w:val="44"/>
          <w:szCs w:val="44"/>
          <w:lang w:eastAsia="zh-CN"/>
        </w:rPr>
        <w:t>上海市长宁区</w:t>
      </w:r>
      <w:r>
        <w:rPr>
          <w:rFonts w:hint="eastAsia" w:ascii="宋体" w:hAnsi="宋体" w:eastAsia="方正大标宋简体"/>
          <w:color w:val="auto"/>
          <w:sz w:val="44"/>
          <w:szCs w:val="44"/>
          <w:lang w:val="en-US" w:eastAsia="zh-CN"/>
        </w:rPr>
        <w:t>卫生健康委员会</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大标宋简体"/>
          <w:color w:val="auto"/>
          <w:sz w:val="44"/>
          <w:szCs w:val="44"/>
          <w:lang w:eastAsia="zh-CN"/>
        </w:rPr>
      </w:pPr>
      <w:r>
        <w:rPr>
          <w:rFonts w:hint="eastAsia" w:ascii="宋体" w:hAnsi="宋体" w:eastAsia="方正大标宋简体"/>
          <w:color w:val="auto"/>
          <w:sz w:val="44"/>
          <w:szCs w:val="44"/>
          <w:lang w:eastAsia="zh-CN"/>
        </w:rPr>
        <w:t>2025年政府信息公开工作年度报告</w:t>
      </w:r>
    </w:p>
    <w:p>
      <w:pPr>
        <w:pStyle w:val="7"/>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color w:val="auto"/>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度报告根据《中华人民共和国政府信息公开条例》(以下简称《条例》)、《上海市政府信息公开规定》(以下简称《规定》)要求编制。全文包括总体情况、主动公开政府信息情况、收到和处理政府信息公开申请情况、政府信息公开行政复议和行政诉讼情况、政府信息公开工作存在的主要问题和改进情况及其他需要报告的事项。本年度报告中所列数据的统计期限自</w:t>
      </w:r>
      <w:r>
        <w:rPr>
          <w:rFonts w:hint="eastAsia" w:ascii="宋体" w:hAnsi="宋体" w:eastAsia="宋体" w:cs="宋体"/>
          <w:color w:val="auto"/>
          <w:kern w:val="0"/>
          <w:sz w:val="32"/>
          <w:szCs w:val="32"/>
          <w:lang w:val="en-US" w:eastAsia="zh-CN"/>
        </w:rPr>
        <w:t>2025</w:t>
      </w:r>
      <w:r>
        <w:rPr>
          <w:rFonts w:hint="eastAsia" w:ascii="仿宋_GB2312" w:hAnsi="仿宋_GB2312" w:eastAsia="仿宋_GB2312" w:cs="仿宋_GB2312"/>
          <w:color w:val="auto"/>
          <w:kern w:val="0"/>
          <w:sz w:val="32"/>
          <w:szCs w:val="32"/>
        </w:rPr>
        <w:t>年</w:t>
      </w:r>
      <w:r>
        <w:rPr>
          <w:rFonts w:hint="eastAsia" w:ascii="宋体" w:hAnsi="宋体" w:eastAsia="宋体" w:cs="宋体"/>
          <w:color w:val="auto"/>
          <w:kern w:val="0"/>
          <w:sz w:val="32"/>
          <w:szCs w:val="32"/>
          <w:lang w:val="en-US" w:eastAsia="zh-CN"/>
        </w:rPr>
        <w:t>1</w:t>
      </w:r>
      <w:r>
        <w:rPr>
          <w:rFonts w:hint="eastAsia" w:ascii="仿宋_GB2312" w:hAnsi="仿宋_GB2312" w:eastAsia="仿宋_GB2312" w:cs="仿宋_GB2312"/>
          <w:color w:val="auto"/>
          <w:kern w:val="0"/>
          <w:sz w:val="32"/>
          <w:szCs w:val="32"/>
        </w:rPr>
        <w:t>月</w:t>
      </w:r>
      <w:r>
        <w:rPr>
          <w:rFonts w:hint="eastAsia" w:ascii="宋体" w:hAnsi="宋体" w:eastAsia="宋体" w:cs="宋体"/>
          <w:color w:val="auto"/>
          <w:kern w:val="0"/>
          <w:sz w:val="32"/>
          <w:szCs w:val="32"/>
          <w:lang w:val="en-US" w:eastAsia="zh-CN"/>
        </w:rPr>
        <w:t>1</w:t>
      </w:r>
      <w:r>
        <w:rPr>
          <w:rFonts w:hint="eastAsia" w:ascii="仿宋_GB2312" w:hAnsi="仿宋_GB2312" w:eastAsia="仿宋_GB2312" w:cs="仿宋_GB2312"/>
          <w:color w:val="auto"/>
          <w:kern w:val="0"/>
          <w:sz w:val="32"/>
          <w:szCs w:val="32"/>
        </w:rPr>
        <w:t>日起至</w:t>
      </w:r>
      <w:r>
        <w:rPr>
          <w:rFonts w:hint="eastAsia" w:ascii="宋体" w:hAnsi="宋体" w:eastAsia="宋体" w:cs="宋体"/>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宋体" w:hAnsi="宋体" w:eastAsia="宋体" w:cs="宋体"/>
          <w:color w:val="auto"/>
          <w:kern w:val="0"/>
          <w:sz w:val="32"/>
          <w:szCs w:val="32"/>
          <w:lang w:val="en-US" w:eastAsia="zh-CN"/>
        </w:rPr>
        <w:t>31</w:t>
      </w:r>
      <w:r>
        <w:rPr>
          <w:rFonts w:hint="eastAsia" w:ascii="仿宋_GB2312" w:hAnsi="仿宋_GB2312" w:eastAsia="仿宋_GB2312" w:cs="仿宋_GB2312"/>
          <w:color w:val="auto"/>
          <w:kern w:val="0"/>
          <w:sz w:val="32"/>
          <w:szCs w:val="32"/>
        </w:rPr>
        <w:t>日止</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总体情况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宋体" w:hAnsi="宋体" w:eastAsia="宋体" w:cs="宋体"/>
          <w:color w:val="auto"/>
          <w:kern w:val="0"/>
          <w:sz w:val="32"/>
          <w:szCs w:val="32"/>
          <w:lang w:val="en-US" w:eastAsia="zh-CN"/>
        </w:rPr>
        <w:t>2025</w:t>
      </w:r>
      <w:r>
        <w:rPr>
          <w:rFonts w:hint="eastAsia" w:ascii="仿宋_GB2312" w:hAnsi="仿宋_GB2312" w:eastAsia="仿宋_GB2312" w:cs="仿宋_GB2312"/>
          <w:color w:val="auto"/>
          <w:kern w:val="0"/>
          <w:sz w:val="32"/>
          <w:szCs w:val="32"/>
        </w:rPr>
        <w:t>年，长宁区卫健委认真贯彻实施《中华人民共和国政府信息公开条例》(以下简称《条例》)和《上海市政府信息公开规定》(以下简称《规定》)，围绕本部门重点工作和社会公众关切，坚持“以公开为常态、不公开为例外”的原则，持续加大主动公开力度，进一步加强依申请公开制度规范，全面推进我区卫生健康领域的政务公开工作。</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主动公开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年，我委备案公文</w:t>
      </w:r>
      <w:r>
        <w:rPr>
          <w:rFonts w:hint="eastAsia" w:ascii="仿宋_GB2312" w:hAnsi="仿宋_GB2312" w:eastAsia="仿宋_GB2312" w:cs="仿宋_GB2312"/>
          <w:color w:val="auto"/>
          <w:kern w:val="0"/>
          <w:sz w:val="32"/>
          <w:szCs w:val="32"/>
          <w:lang w:val="en-US" w:eastAsia="zh-CN"/>
        </w:rPr>
        <w:t>49</w:t>
      </w:r>
      <w:r>
        <w:rPr>
          <w:rFonts w:hint="eastAsia" w:ascii="仿宋_GB2312" w:hAnsi="仿宋_GB2312" w:eastAsia="仿宋_GB2312" w:cs="仿宋_GB2312"/>
          <w:color w:val="auto"/>
          <w:kern w:val="0"/>
          <w:sz w:val="32"/>
          <w:szCs w:val="32"/>
        </w:rPr>
        <w:t>件，主动公开</w:t>
      </w:r>
      <w:r>
        <w:rPr>
          <w:rFonts w:hint="eastAsia" w:ascii="仿宋_GB2312" w:hAnsi="仿宋_GB2312" w:eastAsia="仿宋_GB2312" w:cs="仿宋_GB2312"/>
          <w:color w:val="auto"/>
          <w:kern w:val="0"/>
          <w:sz w:val="32"/>
          <w:szCs w:val="32"/>
          <w:lang w:val="en-US" w:eastAsia="zh-CN"/>
        </w:rPr>
        <w:t>49</w:t>
      </w:r>
      <w:r>
        <w:rPr>
          <w:rFonts w:hint="eastAsia" w:ascii="仿宋_GB2312" w:hAnsi="仿宋_GB2312" w:eastAsia="仿宋_GB2312" w:cs="仿宋_GB2312"/>
          <w:color w:val="auto"/>
          <w:kern w:val="0"/>
          <w:sz w:val="32"/>
          <w:szCs w:val="32"/>
        </w:rPr>
        <w:t>件，主动公开率</w:t>
      </w:r>
      <w:r>
        <w:rPr>
          <w:rFonts w:hint="eastAsia" w:ascii="宋体" w:hAnsi="宋体" w:eastAsia="宋体" w:cs="宋体"/>
          <w:color w:val="auto"/>
          <w:kern w:val="0"/>
          <w:sz w:val="32"/>
          <w:szCs w:val="32"/>
          <w:lang w:val="en-US" w:eastAsia="zh-CN"/>
        </w:rPr>
        <w:t>100%</w:t>
      </w:r>
      <w:r>
        <w:rPr>
          <w:rFonts w:hint="eastAsia" w:ascii="仿宋_GB2312" w:hAnsi="仿宋_GB2312" w:eastAsia="仿宋_GB2312" w:cs="仿宋_GB2312"/>
          <w:color w:val="auto"/>
          <w:kern w:val="0"/>
          <w:sz w:val="32"/>
          <w:szCs w:val="32"/>
        </w:rPr>
        <w:t>。无重大行政决策和规范性文件发布。按时公布本部门及委属单位年度预决算、政府采购意向、支出项目绩效目标和自评、专项资金等财政信息。公布年度建议提案办理及总体情况。发布事业单位招考录用信息。依托政务微信、政府网站和卫生热线等方式，及时发布公共医疗卫生服务信息，科普健康宣教知识，切实保障人民群众的健康需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依托"一网通办"全面公开行政审批、行政处罚等行政权力事项和公共服务事项。公布了59项行政许可、408项行政处罚和112项其他对外管理服务事项及其业务办理情形的依据、条件、程序等信息，并进行动态调整。2025年，在长宁区门户网站公示我委行政处罚结果信息31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继续做好卫生监督检查情况公开。全面实施“双随机一公开”工作，在“双随机一公开”栏目集中发布监督检查处置结果信息。继续按季度公布本区二次供水(用户水龙头水)水质监测结果和合格率情况。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做好政府开放月活动，</w:t>
      </w:r>
      <w:r>
        <w:rPr>
          <w:rFonts w:hint="eastAsia" w:ascii="仿宋_GB2312" w:hAnsi="仿宋_GB2312" w:eastAsia="仿宋_GB2312" w:cs="仿宋_GB2312"/>
          <w:color w:val="auto"/>
          <w:kern w:val="0"/>
          <w:sz w:val="32"/>
          <w:szCs w:val="32"/>
          <w:lang w:val="en-US" w:eastAsia="zh-CN"/>
        </w:rPr>
        <w:t>由天山中医医院联合</w:t>
      </w:r>
      <w:r>
        <w:rPr>
          <w:rFonts w:hint="eastAsia" w:ascii="仿宋_GB2312" w:hAnsi="仿宋_GB2312" w:eastAsia="仿宋_GB2312" w:cs="仿宋_GB2312"/>
          <w:color w:val="auto"/>
          <w:kern w:val="0"/>
          <w:sz w:val="32"/>
          <w:szCs w:val="32"/>
        </w:rPr>
        <w:t>长宁区</w:t>
      </w:r>
      <w:r>
        <w:rPr>
          <w:rFonts w:hint="eastAsia" w:ascii="仿宋_GB2312" w:hAnsi="仿宋_GB2312" w:eastAsia="仿宋_GB2312" w:cs="仿宋_GB2312"/>
          <w:color w:val="auto"/>
          <w:kern w:val="0"/>
          <w:sz w:val="32"/>
          <w:szCs w:val="32"/>
          <w:lang w:val="en-US" w:eastAsia="zh-CN"/>
        </w:rPr>
        <w:t>10个</w:t>
      </w:r>
      <w:r>
        <w:rPr>
          <w:rFonts w:hint="eastAsia" w:ascii="仿宋_GB2312" w:hAnsi="仿宋_GB2312" w:eastAsia="仿宋_GB2312" w:cs="仿宋_GB2312"/>
          <w:color w:val="auto"/>
          <w:kern w:val="0"/>
          <w:sz w:val="32"/>
          <w:szCs w:val="32"/>
        </w:rPr>
        <w:t>街道社区卫生服务中心开展“</w:t>
      </w:r>
      <w:r>
        <w:rPr>
          <w:rFonts w:hint="eastAsia" w:ascii="仿宋_GB2312" w:hAnsi="仿宋_GB2312" w:eastAsia="仿宋_GB2312" w:cs="仿宋_GB2312"/>
          <w:color w:val="auto"/>
          <w:kern w:val="0"/>
          <w:sz w:val="32"/>
          <w:szCs w:val="32"/>
          <w:lang w:val="en-US" w:eastAsia="zh-CN"/>
        </w:rPr>
        <w:t>岐黄守正·杏林惠民</w:t>
      </w:r>
      <w:r>
        <w:rPr>
          <w:rFonts w:hint="eastAsia" w:ascii="仿宋_GB2312" w:hAnsi="仿宋_GB2312" w:eastAsia="仿宋_GB2312" w:cs="仿宋_GB2312"/>
          <w:color w:val="auto"/>
          <w:kern w:val="0"/>
          <w:sz w:val="32"/>
          <w:szCs w:val="32"/>
        </w:rPr>
        <w:t>”活动，</w:t>
      </w:r>
      <w:r>
        <w:rPr>
          <w:rFonts w:hint="eastAsia" w:ascii="仿宋_GB2312" w:hAnsi="仿宋_GB2312" w:eastAsia="仿宋_GB2312" w:cs="仿宋_GB2312"/>
          <w:color w:val="auto"/>
          <w:kern w:val="0"/>
          <w:sz w:val="32"/>
          <w:szCs w:val="32"/>
          <w:lang w:val="en-US" w:eastAsia="zh-CN"/>
        </w:rPr>
        <w:t>设置中医养生讲座、茶饮品尝等活动，共开展10场活动，覆盖人群392人次</w:t>
      </w:r>
      <w:r>
        <w:rPr>
          <w:rFonts w:hint="eastAsia" w:ascii="仿宋_GB2312" w:hAnsi="仿宋_GB2312" w:eastAsia="仿宋_GB2312" w:cs="仿宋_GB2312"/>
          <w:color w:val="auto"/>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按照政府信息公开属性定期审查和动态调整的要求，我委对</w:t>
      </w:r>
      <w:r>
        <w:rPr>
          <w:rFonts w:hint="eastAsia" w:ascii="宋体" w:hAnsi="宋体" w:eastAsia="宋体" w:cs="宋体"/>
          <w:color w:val="auto"/>
          <w:kern w:val="0"/>
          <w:sz w:val="32"/>
          <w:szCs w:val="32"/>
          <w:lang w:val="en-US" w:eastAsia="zh-CN"/>
        </w:rPr>
        <w:t>2024</w:t>
      </w:r>
      <w:r>
        <w:rPr>
          <w:rFonts w:hint="eastAsia" w:ascii="仿宋_GB2312" w:hAnsi="仿宋_GB2312" w:eastAsia="仿宋_GB2312" w:cs="仿宋_GB2312"/>
          <w:color w:val="auto"/>
          <w:kern w:val="0"/>
          <w:sz w:val="32"/>
          <w:szCs w:val="32"/>
        </w:rPr>
        <w:t>年以来未进行公开属性认定和公开属性为依申请公开、不予公开的文件，开展公开属性重新梳理审查工作，</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具备主动公开条件的依申请公文信息</w:t>
      </w:r>
      <w:r>
        <w:rPr>
          <w:rFonts w:hint="eastAsia" w:ascii="仿宋_GB2312" w:hAnsi="仿宋_GB2312" w:eastAsia="仿宋_GB2312" w:cs="仿宋_GB2312"/>
          <w:color w:val="auto"/>
          <w:kern w:val="0"/>
          <w:sz w:val="32"/>
          <w:szCs w:val="32"/>
          <w:lang w:val="en-US" w:eastAsia="zh-CN"/>
        </w:rPr>
        <w:t>需要</w:t>
      </w:r>
      <w:r>
        <w:rPr>
          <w:rFonts w:hint="eastAsia" w:ascii="仿宋_GB2312" w:hAnsi="仿宋_GB2312" w:eastAsia="仿宋_GB2312" w:cs="仿宋_GB2312"/>
          <w:color w:val="auto"/>
          <w:kern w:val="0"/>
          <w:sz w:val="32"/>
          <w:szCs w:val="32"/>
        </w:rPr>
        <w:t>转化公开。</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依申请公开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宋体" w:hAnsi="宋体" w:eastAsia="宋体" w:cs="宋体"/>
          <w:color w:val="auto"/>
          <w:kern w:val="0"/>
          <w:sz w:val="32"/>
          <w:szCs w:val="32"/>
          <w:lang w:val="en-US" w:eastAsia="zh-CN"/>
        </w:rPr>
        <w:t>2025</w:t>
      </w:r>
      <w:r>
        <w:rPr>
          <w:rFonts w:hint="eastAsia" w:ascii="仿宋_GB2312" w:hAnsi="仿宋_GB2312" w:eastAsia="仿宋_GB2312" w:cs="仿宋_GB2312"/>
          <w:color w:val="auto"/>
          <w:kern w:val="0"/>
          <w:sz w:val="32"/>
          <w:szCs w:val="32"/>
        </w:rPr>
        <w:t>年，我委共受理信息公开申请</w:t>
      </w:r>
      <w:r>
        <w:rPr>
          <w:rFonts w:hint="eastAsia" w:ascii="仿宋_GB2312" w:hAnsi="仿宋_GB2312" w:eastAsia="仿宋_GB2312" w:cs="仿宋_GB2312"/>
          <w:color w:val="auto"/>
          <w:kern w:val="0"/>
          <w:sz w:val="32"/>
          <w:szCs w:val="32"/>
          <w:lang w:val="en-US" w:eastAsia="zh-CN"/>
        </w:rPr>
        <w:t>69</w:t>
      </w:r>
      <w:r>
        <w:rPr>
          <w:rFonts w:hint="eastAsia" w:ascii="仿宋_GB2312" w:hAnsi="仿宋_GB2312" w:eastAsia="仿宋_GB2312" w:cs="仿宋_GB2312"/>
          <w:color w:val="auto"/>
          <w:kern w:val="0"/>
          <w:sz w:val="32"/>
          <w:szCs w:val="32"/>
        </w:rPr>
        <w:t>件(其中，自然人提交申请</w:t>
      </w:r>
      <w:r>
        <w:rPr>
          <w:rFonts w:hint="eastAsia" w:ascii="宋体" w:hAnsi="宋体" w:eastAsia="宋体" w:cs="宋体"/>
          <w:color w:val="auto"/>
          <w:kern w:val="0"/>
          <w:sz w:val="32"/>
          <w:szCs w:val="32"/>
          <w:lang w:val="en-US" w:eastAsia="zh-CN"/>
        </w:rPr>
        <w:t>68</w:t>
      </w:r>
      <w:r>
        <w:rPr>
          <w:rFonts w:hint="eastAsia" w:ascii="仿宋_GB2312" w:hAnsi="仿宋_GB2312" w:eastAsia="仿宋_GB2312" w:cs="仿宋_GB2312"/>
          <w:color w:val="auto"/>
          <w:kern w:val="0"/>
          <w:sz w:val="32"/>
          <w:szCs w:val="32"/>
        </w:rPr>
        <w:t>件，商业企业提交申请</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件)，比</w:t>
      </w:r>
      <w:r>
        <w:rPr>
          <w:rFonts w:hint="eastAsia" w:ascii="宋体" w:hAnsi="宋体" w:eastAsia="宋体" w:cs="宋体"/>
          <w:color w:val="auto"/>
          <w:kern w:val="0"/>
          <w:sz w:val="32"/>
          <w:szCs w:val="32"/>
          <w:lang w:val="en-US" w:eastAsia="zh-CN"/>
        </w:rPr>
        <w:t>2023</w:t>
      </w:r>
      <w:r>
        <w:rPr>
          <w:rFonts w:hint="eastAsia" w:ascii="仿宋_GB2312" w:hAnsi="仿宋_GB2312" w:eastAsia="仿宋_GB2312" w:cs="仿宋_GB2312"/>
          <w:color w:val="auto"/>
          <w:kern w:val="0"/>
          <w:sz w:val="32"/>
          <w:szCs w:val="32"/>
        </w:rPr>
        <w:t>年度增加</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件。共答复</w:t>
      </w:r>
      <w:r>
        <w:rPr>
          <w:rFonts w:hint="eastAsia" w:ascii="宋体" w:hAnsi="宋体" w:eastAsia="宋体" w:cs="宋体"/>
          <w:color w:val="auto"/>
          <w:kern w:val="0"/>
          <w:sz w:val="32"/>
          <w:szCs w:val="32"/>
          <w:lang w:val="en-US" w:eastAsia="zh-CN"/>
        </w:rPr>
        <w:t>67</w:t>
      </w:r>
      <w:r>
        <w:rPr>
          <w:rFonts w:hint="eastAsia" w:ascii="仿宋_GB2312" w:hAnsi="仿宋_GB2312" w:eastAsia="仿宋_GB2312" w:cs="仿宋_GB2312"/>
          <w:color w:val="auto"/>
          <w:kern w:val="0"/>
          <w:sz w:val="32"/>
          <w:szCs w:val="32"/>
        </w:rPr>
        <w:t>件，上年结转政府信息公开申请数量办理</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结转下年度继续办理</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依申请公开28件，占比40%；部分公开15件，占比21%；咨询10件，占比13%；信息不存在5件，占比7%；非政府信息4件，占比6%；申请人主动撤销2件，占比3%；</w:t>
      </w:r>
      <w:r>
        <w:rPr>
          <w:rFonts w:hint="eastAsia" w:ascii="仿宋_GB2312" w:hAnsi="仿宋_GB2312" w:eastAsia="仿宋_GB2312" w:cs="仿宋_GB2312"/>
          <w:color w:val="auto"/>
          <w:kern w:val="0"/>
          <w:sz w:val="32"/>
          <w:szCs w:val="32"/>
        </w:rPr>
        <w:t>不属于本机关负责公开</w:t>
      </w:r>
      <w:r>
        <w:rPr>
          <w:rFonts w:hint="eastAsia" w:ascii="仿宋_GB2312" w:hAnsi="仿宋_GB2312" w:eastAsia="仿宋_GB2312" w:cs="仿宋_GB2312"/>
          <w:color w:val="auto"/>
          <w:kern w:val="0"/>
          <w:sz w:val="32"/>
          <w:szCs w:val="32"/>
          <w:lang w:val="en-US" w:eastAsia="zh-CN"/>
        </w:rPr>
        <w:t>2件，占比3%；属于三类内部事务信息不予公开1件，占比1.5%；信访举报投诉类申请1件，占比1.5%；重复申请1件，占比1.5%</w:t>
      </w:r>
      <w:r>
        <w:rPr>
          <w:rFonts w:hint="eastAsia" w:ascii="仿宋_GB2312" w:hAnsi="仿宋_GB2312" w:eastAsia="仿宋_GB2312" w:cs="仿宋_GB2312"/>
          <w:color w:val="auto"/>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本年度涉及政府信息公开类行政复议案件</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件;行政诉讼类案件共</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件。</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政府信息管理方面</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委结合本区实际和领域特点，围绕我委重点工作，对《上海市长宁区卫健委政务公开标准化目录》动态优化、更新完善，细化公开内容，确保公开事项、公开内容、公开依据、公开时限、公开主体、公开渠道等要素完善，切实提升基层政务公开的针对性、实效性。</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(四)平台建设方面</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加强政府网站信息发布。及时发布重要公共政策、保障服务及便民服务信息等内容。开展自查自纠杜绝网上信息发生泄露个人信息、数据不同源、错链等情况。积极发挥政务新媒体传播优势，通过“上海长宁区卫生健康委员会”微信公众号及时发布医疗卫生相关政务新闻信息。</w:t>
      </w:r>
    </w:p>
    <w:p>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(五)监督保障方面</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加强政务公开工作的组织和领导，我委明确一名副主任分管本部门政府信息公开工作，履行政府信息公开工作领导职责，不定期听取政务公开工作汇报，并部署相关工作。积极参加区组织的政务公开业务培训，提高业务水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 xml:space="preserve"> </w:t>
      </w:r>
      <w:r>
        <w:rPr>
          <w:rFonts w:hint="eastAsia" w:ascii="黑体" w:hAnsi="黑体" w:eastAsia="黑体" w:cs="黑体"/>
          <w:b w:val="0"/>
          <w:bCs w:val="0"/>
          <w:color w:val="auto"/>
          <w:kern w:val="0"/>
          <w:sz w:val="32"/>
          <w:szCs w:val="32"/>
        </w:rPr>
        <w:t>二、行政机关主动公开政府信息情况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黑体" w:hAnsi="黑体" w:eastAsia="黑体" w:cs="黑体"/>
          <w:b w:val="0"/>
          <w:bCs w:val="0"/>
          <w:color w:val="auto"/>
          <w:kern w:val="0"/>
          <w:sz w:val="32"/>
          <w:szCs w:val="32"/>
        </w:rPr>
      </w:pPr>
    </w:p>
    <w:tbl>
      <w:tblPr>
        <w:tblStyle w:val="22"/>
        <w:tblW w:w="8290" w:type="dxa"/>
        <w:tblInd w:w="0" w:type="dxa"/>
        <w:tblLayout w:type="fixed"/>
        <w:tblCellMar>
          <w:top w:w="15" w:type="dxa"/>
          <w:left w:w="15" w:type="dxa"/>
          <w:bottom w:w="15" w:type="dxa"/>
          <w:right w:w="15" w:type="dxa"/>
        </w:tblCellMar>
      </w:tblPr>
      <w:tblGrid>
        <w:gridCol w:w="3145"/>
        <w:gridCol w:w="1907"/>
        <w:gridCol w:w="1306"/>
        <w:gridCol w:w="1932"/>
      </w:tblGrid>
      <w:tr>
        <w:tblPrEx>
          <w:tblLayout w:type="fixed"/>
          <w:tblCellMar>
            <w:top w:w="15" w:type="dxa"/>
            <w:left w:w="15" w:type="dxa"/>
            <w:bottom w:w="15" w:type="dxa"/>
            <w:right w:w="15" w:type="dxa"/>
          </w:tblCellMar>
        </w:tblPrEx>
        <w:tc>
          <w:tcPr>
            <w:tcW w:w="829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第二十条第（一）项</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信息内容</w:t>
            </w:r>
          </w:p>
        </w:tc>
        <w:tc>
          <w:tcPr>
            <w:tcW w:w="190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本年制发件数</w:t>
            </w:r>
          </w:p>
        </w:tc>
        <w:tc>
          <w:tcPr>
            <w:tcW w:w="13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本年废止件数</w:t>
            </w:r>
          </w:p>
        </w:tc>
        <w:tc>
          <w:tcPr>
            <w:tcW w:w="19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现行有效件数</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规章</w:t>
            </w:r>
          </w:p>
        </w:tc>
        <w:tc>
          <w:tcPr>
            <w:tcW w:w="190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13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19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规范性文件</w:t>
            </w:r>
          </w:p>
        </w:tc>
        <w:tc>
          <w:tcPr>
            <w:tcW w:w="190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13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19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829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第二十条第（五）项</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信息内容</w:t>
            </w:r>
          </w:p>
        </w:tc>
        <w:tc>
          <w:tcPr>
            <w:tcW w:w="514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本年处理决定数量</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行政许可</w:t>
            </w:r>
          </w:p>
        </w:tc>
        <w:tc>
          <w:tcPr>
            <w:tcW w:w="514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6714</w:t>
            </w:r>
          </w:p>
        </w:tc>
      </w:tr>
      <w:tr>
        <w:tblPrEx>
          <w:tblLayout w:type="fixed"/>
          <w:tblCellMar>
            <w:top w:w="15" w:type="dxa"/>
            <w:left w:w="15" w:type="dxa"/>
            <w:bottom w:w="15" w:type="dxa"/>
            <w:right w:w="15" w:type="dxa"/>
          </w:tblCellMar>
        </w:tblPrEx>
        <w:tc>
          <w:tcPr>
            <w:tcW w:w="829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第二十条第（六）项</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信息内容</w:t>
            </w:r>
          </w:p>
        </w:tc>
        <w:tc>
          <w:tcPr>
            <w:tcW w:w="514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本年处理决定数量</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行政处罚</w:t>
            </w:r>
          </w:p>
        </w:tc>
        <w:tc>
          <w:tcPr>
            <w:tcW w:w="514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315</w:t>
            </w:r>
            <w:bookmarkStart w:id="1" w:name="_GoBack"/>
            <w:bookmarkEnd w:id="1"/>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行政强制</w:t>
            </w:r>
          </w:p>
        </w:tc>
        <w:tc>
          <w:tcPr>
            <w:tcW w:w="514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829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第二十条第（八）项</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信息内容</w:t>
            </w:r>
          </w:p>
        </w:tc>
        <w:tc>
          <w:tcPr>
            <w:tcW w:w="514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本年收费金额（单位：万元）</w:t>
            </w:r>
          </w:p>
        </w:tc>
      </w:tr>
      <w:tr>
        <w:tblPrEx>
          <w:tblLayout w:type="fixed"/>
          <w:tblCellMar>
            <w:top w:w="15" w:type="dxa"/>
            <w:left w:w="15" w:type="dxa"/>
            <w:bottom w:w="15" w:type="dxa"/>
            <w:right w:w="15" w:type="dxa"/>
          </w:tblCellMar>
        </w:tblPrEx>
        <w:tc>
          <w:tcPr>
            <w:tcW w:w="31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行政事业性收费</w:t>
            </w:r>
          </w:p>
        </w:tc>
        <w:tc>
          <w:tcPr>
            <w:tcW w:w="514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黑体" w:hAnsi="黑体" w:eastAsia="黑体" w:cs="黑体"/>
          <w:b w:val="0"/>
          <w:bCs w:val="0"/>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三、行政机关收到和处理政府信息公开申请情况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黑体" w:hAnsi="黑体" w:eastAsia="黑体" w:cs="黑体"/>
          <w:b w:val="0"/>
          <w:bCs w:val="0"/>
          <w:color w:val="auto"/>
          <w:kern w:val="0"/>
          <w:sz w:val="32"/>
          <w:szCs w:val="32"/>
        </w:rPr>
      </w:pPr>
    </w:p>
    <w:tbl>
      <w:tblPr>
        <w:tblStyle w:val="22"/>
        <w:tblW w:w="8214" w:type="dxa"/>
        <w:tblInd w:w="0" w:type="dxa"/>
        <w:tblLayout w:type="fixed"/>
        <w:tblCellMar>
          <w:top w:w="15" w:type="dxa"/>
          <w:left w:w="15" w:type="dxa"/>
          <w:bottom w:w="15" w:type="dxa"/>
          <w:right w:w="15" w:type="dxa"/>
        </w:tblCellMar>
      </w:tblPr>
      <w:tblGrid>
        <w:gridCol w:w="495"/>
        <w:gridCol w:w="736"/>
        <w:gridCol w:w="1940"/>
        <w:gridCol w:w="750"/>
        <w:gridCol w:w="600"/>
        <w:gridCol w:w="615"/>
        <w:gridCol w:w="705"/>
        <w:gridCol w:w="750"/>
        <w:gridCol w:w="690"/>
        <w:gridCol w:w="933"/>
      </w:tblGrid>
      <w:tr>
        <w:tblPrEx>
          <w:tblLayout w:type="fixed"/>
          <w:tblCellMar>
            <w:top w:w="15" w:type="dxa"/>
            <w:left w:w="15" w:type="dxa"/>
            <w:bottom w:w="15" w:type="dxa"/>
            <w:right w:w="15" w:type="dxa"/>
          </w:tblCellMar>
        </w:tblPrEx>
        <w:tc>
          <w:tcPr>
            <w:tcW w:w="3171"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（本列数据的勾稽关系为：第一项加第二项之和，等于第三项加第四项之和）</w:t>
            </w:r>
          </w:p>
        </w:tc>
        <w:tc>
          <w:tcPr>
            <w:tcW w:w="5043"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申请人情况</w:t>
            </w:r>
          </w:p>
        </w:tc>
      </w:tr>
      <w:tr>
        <w:tblPrEx>
          <w:tblLayout w:type="fixed"/>
          <w:tblCellMar>
            <w:top w:w="15" w:type="dxa"/>
            <w:left w:w="15" w:type="dxa"/>
            <w:bottom w:w="15" w:type="dxa"/>
            <w:right w:w="15" w:type="dxa"/>
          </w:tblCellMar>
        </w:tblPrEx>
        <w:tc>
          <w:tcPr>
            <w:tcW w:w="3171"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自然人</w:t>
            </w:r>
          </w:p>
        </w:tc>
        <w:tc>
          <w:tcPr>
            <w:tcW w:w="336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法人或其他组织</w:t>
            </w:r>
          </w:p>
        </w:tc>
        <w:tc>
          <w:tcPr>
            <w:tcW w:w="93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总计</w:t>
            </w:r>
          </w:p>
        </w:tc>
      </w:tr>
      <w:tr>
        <w:tblPrEx>
          <w:tblLayout w:type="fixed"/>
          <w:tblCellMar>
            <w:top w:w="15" w:type="dxa"/>
            <w:left w:w="15" w:type="dxa"/>
            <w:bottom w:w="15" w:type="dxa"/>
            <w:right w:w="15" w:type="dxa"/>
          </w:tblCellMar>
        </w:tblPrEx>
        <w:tc>
          <w:tcPr>
            <w:tcW w:w="3171"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商业企业</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科研机构</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社会公益组织</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法律服务机构</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其他</w:t>
            </w:r>
          </w:p>
        </w:tc>
        <w:tc>
          <w:tcPr>
            <w:tcW w:w="93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r>
      <w:tr>
        <w:tblPrEx>
          <w:tblLayout w:type="fixed"/>
          <w:tblCellMar>
            <w:top w:w="15" w:type="dxa"/>
            <w:left w:w="15" w:type="dxa"/>
            <w:bottom w:w="15" w:type="dxa"/>
            <w:right w:w="15" w:type="dxa"/>
          </w:tblCellMar>
        </w:tblPrEx>
        <w:tc>
          <w:tcPr>
            <w:tcW w:w="31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一、本年新收政府信息公开申请数量</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69</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69</w:t>
            </w:r>
          </w:p>
        </w:tc>
      </w:tr>
      <w:tr>
        <w:tblPrEx>
          <w:tblLayout w:type="fixed"/>
          <w:tblCellMar>
            <w:top w:w="15" w:type="dxa"/>
            <w:left w:w="15" w:type="dxa"/>
            <w:bottom w:w="15" w:type="dxa"/>
            <w:right w:w="15" w:type="dxa"/>
          </w:tblCellMar>
        </w:tblPrEx>
        <w:tc>
          <w:tcPr>
            <w:tcW w:w="31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二、上年结转政府信息公开申请数量</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2</w:t>
            </w:r>
          </w:p>
        </w:tc>
      </w:tr>
      <w:tr>
        <w:tblPrEx>
          <w:tblLayout w:type="fixed"/>
          <w:tblCellMar>
            <w:top w:w="15" w:type="dxa"/>
            <w:left w:w="15" w:type="dxa"/>
            <w:bottom w:w="15" w:type="dxa"/>
            <w:right w:w="15" w:type="dxa"/>
          </w:tblCellMar>
        </w:tblPrEx>
        <w:tc>
          <w:tcPr>
            <w:tcW w:w="49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三、本年度办理结果</w:t>
            </w:r>
          </w:p>
        </w:tc>
        <w:tc>
          <w:tcPr>
            <w:tcW w:w="26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（一）予以公开</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27</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28</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26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（二）部分公开（区分处理的，只计这一情形，不计其他情形）</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15</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15</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（三）不予公开</w:t>
            </w: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1.属于国家秘密</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2.其他法律行政法规禁止公开</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3.危及“三安全一稳定”</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4.保护第三方合法权益</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5.属于三类内部事务信息</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6.属于四类过程性信息</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7.属于行政执法案卷</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8.属于行政查询事项</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（四）无法提供</w:t>
            </w: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1.本机关不掌握相关政府信息</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11</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11</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2.没有现成信息需要另行制作</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3.补正后申请内容仍不明确</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（五）不予处理</w:t>
            </w: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1.信访举报投诉类申请</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2.重复申请</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3.要求提供公开出版物</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4.无正当理由大量反复申请</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5.要求行政机关确认或重新出具已获取信息</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（六）其他处理</w:t>
            </w: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1.申请人无正当理由逾期不补正、行政机关不再处理其政府信息公开申请</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2.申请人逾期未按收费通知要求缴纳费用、行政机关不再处理其政府信息公开申请</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19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3.其他</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2</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2</w:t>
            </w:r>
          </w:p>
        </w:tc>
      </w:tr>
      <w:tr>
        <w:tblPrEx>
          <w:tblLayout w:type="fixed"/>
          <w:tblCellMar>
            <w:top w:w="15" w:type="dxa"/>
            <w:left w:w="15" w:type="dxa"/>
            <w:bottom w:w="15" w:type="dxa"/>
            <w:right w:w="15" w:type="dxa"/>
          </w:tblCellMar>
        </w:tblPrEx>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26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（七）总计</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69</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69</w:t>
            </w:r>
          </w:p>
        </w:tc>
      </w:tr>
      <w:tr>
        <w:tblPrEx>
          <w:tblLayout w:type="fixed"/>
          <w:tblCellMar>
            <w:top w:w="15" w:type="dxa"/>
            <w:left w:w="15" w:type="dxa"/>
            <w:bottom w:w="15" w:type="dxa"/>
            <w:right w:w="15" w:type="dxa"/>
          </w:tblCellMar>
        </w:tblPrEx>
        <w:tc>
          <w:tcPr>
            <w:tcW w:w="31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四、</w:t>
            </w:r>
            <w:bookmarkStart w:id="0" w:name="_Hlk155430766"/>
            <w:r>
              <w:rPr>
                <w:rFonts w:hint="eastAsia" w:ascii="仿宋_GB2312" w:hAnsi="仿宋_GB2312" w:eastAsia="仿宋_GB2312" w:cs="仿宋_GB2312"/>
                <w:color w:val="auto"/>
                <w:kern w:val="0"/>
                <w:sz w:val="21"/>
                <w:szCs w:val="21"/>
              </w:rPr>
              <w:t>结转下年度继续办理</w:t>
            </w:r>
            <w:bookmarkEnd w:id="0"/>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9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黑体" w:hAnsi="黑体" w:eastAsia="黑体" w:cs="黑体"/>
          <w:b w:val="0"/>
          <w:bCs w:val="0"/>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四、因政府信息公开工作被申请行政复议、提起行政诉讼情况</w:t>
      </w:r>
    </w:p>
    <w:tbl>
      <w:tblPr>
        <w:tblStyle w:val="22"/>
        <w:tblW w:w="8214" w:type="dxa"/>
        <w:tblInd w:w="0" w:type="dxa"/>
        <w:tblLayout w:type="fixed"/>
        <w:tblCellMar>
          <w:top w:w="15" w:type="dxa"/>
          <w:left w:w="15" w:type="dxa"/>
          <w:bottom w:w="15" w:type="dxa"/>
          <w:right w:w="15" w:type="dxa"/>
        </w:tblCellMar>
      </w:tblPr>
      <w:tblGrid>
        <w:gridCol w:w="482"/>
        <w:gridCol w:w="482"/>
        <w:gridCol w:w="482"/>
        <w:gridCol w:w="482"/>
        <w:gridCol w:w="482"/>
        <w:gridCol w:w="482"/>
        <w:gridCol w:w="481"/>
        <w:gridCol w:w="481"/>
        <w:gridCol w:w="481"/>
        <w:gridCol w:w="481"/>
        <w:gridCol w:w="481"/>
        <w:gridCol w:w="481"/>
        <w:gridCol w:w="481"/>
        <w:gridCol w:w="481"/>
        <w:gridCol w:w="1474"/>
      </w:tblGrid>
      <w:tr>
        <w:tblPrEx>
          <w:tblLayout w:type="fixed"/>
          <w:tblCellMar>
            <w:top w:w="15" w:type="dxa"/>
            <w:left w:w="15" w:type="dxa"/>
            <w:bottom w:w="15" w:type="dxa"/>
            <w:right w:w="15" w:type="dxa"/>
          </w:tblCellMar>
        </w:tblPrEx>
        <w:trPr>
          <w:trHeight w:val="816" w:hRule="atLeast"/>
        </w:trPr>
        <w:tc>
          <w:tcPr>
            <w:tcW w:w="241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行政复议</w:t>
            </w:r>
          </w:p>
        </w:tc>
        <w:tc>
          <w:tcPr>
            <w:tcW w:w="5804" w:type="dxa"/>
            <w:gridSpan w:val="10"/>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行政诉讼</w:t>
            </w:r>
          </w:p>
        </w:tc>
      </w:tr>
      <w:tr>
        <w:tblPrEx>
          <w:tblLayout w:type="fixed"/>
          <w:tblCellMar>
            <w:top w:w="15" w:type="dxa"/>
            <w:left w:w="15" w:type="dxa"/>
            <w:bottom w:w="15" w:type="dxa"/>
            <w:right w:w="15" w:type="dxa"/>
          </w:tblCellMar>
        </w:tblPrEx>
        <w:trPr>
          <w:trHeight w:val="816" w:hRule="atLeast"/>
        </w:trPr>
        <w:tc>
          <w:tcPr>
            <w:tcW w:w="48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结果维持</w:t>
            </w:r>
          </w:p>
        </w:tc>
        <w:tc>
          <w:tcPr>
            <w:tcW w:w="48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结果纠正</w:t>
            </w:r>
          </w:p>
        </w:tc>
        <w:tc>
          <w:tcPr>
            <w:tcW w:w="48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其他结果</w:t>
            </w:r>
          </w:p>
        </w:tc>
        <w:tc>
          <w:tcPr>
            <w:tcW w:w="48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尚未审结</w:t>
            </w:r>
          </w:p>
        </w:tc>
        <w:tc>
          <w:tcPr>
            <w:tcW w:w="48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总计</w:t>
            </w:r>
          </w:p>
        </w:tc>
        <w:tc>
          <w:tcPr>
            <w:tcW w:w="2406"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未经复议直接起诉</w:t>
            </w:r>
          </w:p>
        </w:tc>
        <w:tc>
          <w:tcPr>
            <w:tcW w:w="3398"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复议后起诉</w:t>
            </w:r>
          </w:p>
        </w:tc>
      </w:tr>
      <w:tr>
        <w:tblPrEx>
          <w:tblLayout w:type="fixed"/>
          <w:tblCellMar>
            <w:top w:w="15" w:type="dxa"/>
            <w:left w:w="15" w:type="dxa"/>
            <w:bottom w:w="15" w:type="dxa"/>
            <w:right w:w="15" w:type="dxa"/>
          </w:tblCellMar>
        </w:tblPrEx>
        <w:trPr>
          <w:trHeight w:val="1151" w:hRule="atLeast"/>
        </w:trPr>
        <w:tc>
          <w:tcPr>
            <w:tcW w:w="48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48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48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48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48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结果维持</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结果纠正</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其他结果</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尚未审结</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总计</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结果维持</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结果纠正</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其他结果</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尚未审结</w:t>
            </w:r>
          </w:p>
        </w:tc>
        <w:tc>
          <w:tcPr>
            <w:tcW w:w="147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总计</w:t>
            </w:r>
          </w:p>
        </w:tc>
      </w:tr>
      <w:tr>
        <w:tblPrEx>
          <w:tblLayout w:type="fixed"/>
          <w:tblCellMar>
            <w:top w:w="15" w:type="dxa"/>
            <w:left w:w="15" w:type="dxa"/>
            <w:bottom w:w="15" w:type="dxa"/>
            <w:right w:w="15" w:type="dxa"/>
          </w:tblCellMar>
        </w:tblPrEx>
        <w:trPr>
          <w:trHeight w:val="816" w:hRule="atLeast"/>
        </w:trPr>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0</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0</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p>
        </w:tc>
        <w:tc>
          <w:tcPr>
            <w:tcW w:w="4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0</w:t>
            </w:r>
          </w:p>
        </w:tc>
        <w:tc>
          <w:tcPr>
            <w:tcW w:w="147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p>
        </w:tc>
      </w:tr>
    </w:tbl>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存在的主要问题及改进情况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(一)2025年存在的主要问题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一是</w:t>
      </w:r>
      <w:r>
        <w:rPr>
          <w:rFonts w:hint="eastAsia" w:ascii="仿宋_GB2312" w:hAnsi="仿宋_GB2312" w:eastAsia="仿宋_GB2312" w:cs="仿宋_GB2312"/>
          <w:color w:val="auto"/>
          <w:kern w:val="0"/>
          <w:sz w:val="32"/>
          <w:szCs w:val="32"/>
          <w:lang w:eastAsia="zh-CN"/>
        </w:rPr>
        <w:t>重点领域公开质效不够扎实;</w:t>
      </w:r>
      <w:r>
        <w:rPr>
          <w:rFonts w:hint="eastAsia" w:ascii="仿宋_GB2312" w:hAnsi="仿宋_GB2312" w:eastAsia="仿宋_GB2312" w:cs="仿宋_GB2312"/>
          <w:color w:val="auto"/>
          <w:kern w:val="0"/>
          <w:sz w:val="32"/>
          <w:szCs w:val="32"/>
          <w:lang w:val="en-US" w:eastAsia="zh-CN"/>
        </w:rPr>
        <w:t>二是互动回应机制不够健全完善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三是工作保障能力有待持续强化</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(二)2024年存在问题的改进情况</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针对政策发布问题，我委建立“三级联动统筹”机制，构建“一把手挂帅、分管领导主抓、科室协同”责任闭环，明确办公室牵头、业务科室分工供稿，形成联动格局。优化发布流程，对医疗服务、公共卫生等重点领域政策分类归集，搭建“原文+解读+指引”一体化模块，提升查询便捷度。同时建立群众需求响应机制，结合线上征集、线下走访吸纳建议，热点政策实行多渠道发布，配套图文解读。</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针对目录分类精确性问题，我委对照相关要求，结合工作实际，全面梳理优化公开目录。细化核心板块分类，删除失效条目、新增更新条目，确保与卫健业务精准契合。组织科室自查自纠，对分类模糊内容逐一核查调整，完善动态调整机制，保障目录分类科学时效。</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针对平台维护问题，我委健全常态化运维机制，明确专人负责，实行“日监测、周巡查、月评估”制度，及时整改更新不及时、表述不规范等问题。定期参加市、区机关组织的专题培训，借鉴先进经验提升工作人员能力，完善应急处置流程，保障平台稳定高效运行。</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其他需要报告的事项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(一)贯彻落实市、区政务公开工作要点的情况</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宋体" w:hAnsi="宋体" w:eastAsia="宋体" w:cs="宋体"/>
          <w:color w:val="auto"/>
          <w:kern w:val="0"/>
          <w:sz w:val="32"/>
          <w:szCs w:val="32"/>
          <w:lang w:val="en-US" w:eastAsia="zh-CN"/>
        </w:rPr>
        <w:t>2025</w:t>
      </w:r>
      <w:r>
        <w:rPr>
          <w:rFonts w:hint="eastAsia" w:ascii="仿宋_GB2312" w:hAnsi="仿宋_GB2312" w:eastAsia="仿宋_GB2312" w:cs="仿宋_GB2312"/>
          <w:color w:val="auto"/>
          <w:kern w:val="0"/>
          <w:sz w:val="32"/>
          <w:szCs w:val="32"/>
        </w:rPr>
        <w:t>年，我委严格对照</w:t>
      </w:r>
      <w:r>
        <w:rPr>
          <w:rFonts w:hint="eastAsia" w:ascii="仿宋_GB2312" w:hAnsi="仿宋_GB2312" w:eastAsia="仿宋_GB2312" w:cs="仿宋_GB2312"/>
          <w:color w:val="auto"/>
          <w:kern w:val="0"/>
          <w:sz w:val="32"/>
          <w:szCs w:val="32"/>
          <w:lang w:eastAsia="zh-CN"/>
        </w:rPr>
        <w:t>本</w:t>
      </w:r>
      <w:r>
        <w:rPr>
          <w:rFonts w:hint="eastAsia" w:ascii="仿宋_GB2312" w:hAnsi="仿宋_GB2312" w:eastAsia="仿宋_GB2312" w:cs="仿宋_GB2312"/>
          <w:color w:val="auto"/>
          <w:kern w:val="0"/>
          <w:sz w:val="32"/>
          <w:szCs w:val="32"/>
        </w:rPr>
        <w:t>市以及本区政务公开工作要点明确的目标任务和时间节点落实相关工作，结合自查自纠对要点落实情况进行跟踪和推进。</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宋体" w:hAnsi="宋体" w:eastAsia="宋体" w:cs="宋体"/>
          <w:color w:val="auto"/>
          <w:kern w:val="0"/>
          <w:sz w:val="32"/>
          <w:szCs w:val="32"/>
          <w:lang w:val="en-US" w:eastAsia="zh-CN"/>
        </w:rPr>
        <w:t>1.</w:t>
      </w:r>
      <w:r>
        <w:rPr>
          <w:rFonts w:hint="eastAsia" w:ascii="仿宋_GB2312" w:hAnsi="仿宋_GB2312" w:eastAsia="仿宋_GB2312" w:cs="仿宋_GB2312"/>
          <w:color w:val="auto"/>
          <w:kern w:val="0"/>
          <w:sz w:val="32"/>
          <w:szCs w:val="32"/>
        </w:rPr>
        <w:t>丰富政民互动形式，持续做好健康宣教工作。长宁区疾病预防控制中心一楼开展“一网通办”体验日活动，以“心连心，我帮你”为主题，通过“一对一”的现场咨询服务指导及“帮办”的形式，进一步优化企业群众的办事体验。</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宋体" w:hAnsi="宋体" w:eastAsia="宋体" w:cs="宋体"/>
          <w:color w:val="auto"/>
          <w:kern w:val="0"/>
          <w:sz w:val="32"/>
          <w:szCs w:val="32"/>
          <w:lang w:val="en-US" w:eastAsia="zh-CN"/>
        </w:rPr>
        <w:t>2.</w:t>
      </w:r>
      <w:r>
        <w:rPr>
          <w:rFonts w:hint="eastAsia" w:ascii="仿宋_GB2312" w:hAnsi="仿宋_GB2312" w:eastAsia="仿宋_GB2312" w:cs="仿宋_GB2312"/>
          <w:color w:val="auto"/>
          <w:kern w:val="0"/>
          <w:sz w:val="32"/>
          <w:szCs w:val="32"/>
        </w:rPr>
        <w:t>依托网络及社区平台，加强卫生法治宣传工作。一是充分利用“长宁卫生监督”微信公众号，围绕“一网通办”、“新办事指南”等事项，推出医疗机构、医生、护士注册、审批等指导专栏，标准化公开相关服务事项、办事流程，实现线上指导“零距离”。针对医疗机构校验，开辟事前提醒功能，精准对应的医疗机构，真正做到让民众“少跑腿”。</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是以政务公开为抓手，协同推进卫生健康科普知识，利用好消费者权益保护日等各时间节点，通过上门宣传、社区指导、张贴公示栏、发放宣传资料等形式，普及民众关心的非法行医、消毒产品、二次供水、职业卫生等法律知识。同时线上打造“普法小课堂”，利用短视频等多媒体形式在云上为民众权威解读最新卫生法律政策，解释高频热点问题，目前推出了规范医疗美容服务、处理医疗纠纷等专题培训宣传。</w:t>
      </w:r>
    </w:p>
    <w:p>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(二)收取信息处理费情况</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本年度收取信息处理费的情况如下：发出收费通知的件数为</w:t>
      </w:r>
      <w:r>
        <w:rPr>
          <w:rFonts w:hint="eastAsia" w:ascii="宋体" w:hAnsi="宋体" w:eastAsia="宋体" w:cs="宋体"/>
          <w:color w:val="auto"/>
          <w:kern w:val="0"/>
          <w:sz w:val="32"/>
          <w:szCs w:val="32"/>
          <w:lang w:val="en-US" w:eastAsia="zh-CN"/>
        </w:rPr>
        <w:t>0</w:t>
      </w:r>
      <w:r>
        <w:rPr>
          <w:rFonts w:hint="eastAsia" w:ascii="仿宋_GB2312" w:hAnsi="仿宋_GB2312" w:eastAsia="仿宋_GB2312" w:cs="仿宋_GB2312"/>
          <w:color w:val="auto"/>
          <w:kern w:val="0"/>
          <w:sz w:val="32"/>
          <w:szCs w:val="32"/>
        </w:rPr>
        <w:t>件、总金额为</w:t>
      </w:r>
      <w:r>
        <w:rPr>
          <w:rFonts w:hint="eastAsia" w:ascii="宋体" w:hAnsi="宋体" w:eastAsia="宋体" w:cs="宋体"/>
          <w:color w:val="auto"/>
          <w:kern w:val="0"/>
          <w:sz w:val="32"/>
          <w:szCs w:val="32"/>
          <w:lang w:val="en-US" w:eastAsia="zh-CN"/>
        </w:rPr>
        <w:t>0</w:t>
      </w:r>
      <w:r>
        <w:rPr>
          <w:rFonts w:hint="eastAsia" w:ascii="仿宋_GB2312" w:hAnsi="仿宋_GB2312" w:eastAsia="仿宋_GB2312" w:cs="仿宋_GB2312"/>
          <w:color w:val="auto"/>
          <w:kern w:val="0"/>
          <w:sz w:val="32"/>
          <w:szCs w:val="32"/>
        </w:rPr>
        <w:t>元、实际收取的总金额为</w:t>
      </w:r>
      <w:r>
        <w:rPr>
          <w:rFonts w:hint="eastAsia" w:ascii="宋体" w:hAnsi="宋体" w:eastAsia="宋体" w:cs="宋体"/>
          <w:color w:val="auto"/>
          <w:kern w:val="0"/>
          <w:sz w:val="32"/>
          <w:szCs w:val="32"/>
          <w:lang w:val="en-US" w:eastAsia="zh-CN"/>
        </w:rPr>
        <w:t>0</w:t>
      </w:r>
      <w:r>
        <w:rPr>
          <w:rFonts w:hint="eastAsia" w:ascii="仿宋_GB2312" w:hAnsi="仿宋_GB2312" w:eastAsia="仿宋_GB2312" w:cs="仿宋_GB2312"/>
          <w:color w:val="auto"/>
          <w:kern w:val="0"/>
          <w:sz w:val="32"/>
          <w:szCs w:val="32"/>
        </w:rPr>
        <w:t>元。</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altName w:val="宋体"/>
    <w:panose1 w:val="02010609060101010101"/>
    <w:charset w:val="86"/>
    <w:family w:val="auto"/>
    <w:pitch w:val="default"/>
    <w:sig w:usb0="00000000" w:usb1="00000000" w:usb2="00000000" w:usb3="00000000" w:csb0="00040001" w:csb1="00000000"/>
  </w:font>
  <w:font w:name="KSOFE4500885">
    <w:altName w:val="宋体"/>
    <w:panose1 w:val="02010609060101010101"/>
    <w:charset w:val="86"/>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DC767"/>
    <w:multiLevelType w:val="singleLevel"/>
    <w:tmpl w:val="65ADC767"/>
    <w:lvl w:ilvl="0" w:tentative="0">
      <w:start w:val="1"/>
      <w:numFmt w:val="chineseCounting"/>
      <w:suff w:val="nothing"/>
      <w:lvlText w:val="%1、"/>
      <w:lvlJc w:val="left"/>
    </w:lvl>
  </w:abstractNum>
  <w:abstractNum w:abstractNumId="1">
    <w:nsid w:val="65ADC77F"/>
    <w:multiLevelType w:val="singleLevel"/>
    <w:tmpl w:val="65ADC77F"/>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6A"/>
    <w:rsid w:val="000005AA"/>
    <w:rsid w:val="0011158C"/>
    <w:rsid w:val="002566A4"/>
    <w:rsid w:val="00332786"/>
    <w:rsid w:val="004A5C8B"/>
    <w:rsid w:val="005A2625"/>
    <w:rsid w:val="007E13A7"/>
    <w:rsid w:val="0083298F"/>
    <w:rsid w:val="00860A20"/>
    <w:rsid w:val="00B4126A"/>
    <w:rsid w:val="00B7048C"/>
    <w:rsid w:val="00BD43D1"/>
    <w:rsid w:val="00C83D94"/>
    <w:rsid w:val="00D2637E"/>
    <w:rsid w:val="00DB0985"/>
    <w:rsid w:val="00E9643D"/>
    <w:rsid w:val="00FD36B0"/>
    <w:rsid w:val="00FE19D1"/>
    <w:rsid w:val="02BF1BD5"/>
    <w:rsid w:val="02F35BC9"/>
    <w:rsid w:val="038A7416"/>
    <w:rsid w:val="053C0D4B"/>
    <w:rsid w:val="0A1F2698"/>
    <w:rsid w:val="0AEF6B97"/>
    <w:rsid w:val="0B10637A"/>
    <w:rsid w:val="0E476C7D"/>
    <w:rsid w:val="0EF519A8"/>
    <w:rsid w:val="10EC36FE"/>
    <w:rsid w:val="12133241"/>
    <w:rsid w:val="15BA6132"/>
    <w:rsid w:val="169A3859"/>
    <w:rsid w:val="1D9F1BFB"/>
    <w:rsid w:val="21D26C34"/>
    <w:rsid w:val="21EB49AF"/>
    <w:rsid w:val="22C659E6"/>
    <w:rsid w:val="2C221827"/>
    <w:rsid w:val="2DAB2D4F"/>
    <w:rsid w:val="31E0258F"/>
    <w:rsid w:val="32C32E39"/>
    <w:rsid w:val="32D84239"/>
    <w:rsid w:val="3382720D"/>
    <w:rsid w:val="355D348B"/>
    <w:rsid w:val="365138E9"/>
    <w:rsid w:val="37AD7142"/>
    <w:rsid w:val="37D61F9E"/>
    <w:rsid w:val="3B4715A0"/>
    <w:rsid w:val="3D34460A"/>
    <w:rsid w:val="3EDA6870"/>
    <w:rsid w:val="3FDB3939"/>
    <w:rsid w:val="431C2446"/>
    <w:rsid w:val="434B73BB"/>
    <w:rsid w:val="480A5EDB"/>
    <w:rsid w:val="490422C6"/>
    <w:rsid w:val="4B7C05BF"/>
    <w:rsid w:val="4BE97BFC"/>
    <w:rsid w:val="4F69396B"/>
    <w:rsid w:val="51243192"/>
    <w:rsid w:val="513F3F9E"/>
    <w:rsid w:val="5146216D"/>
    <w:rsid w:val="53CA152B"/>
    <w:rsid w:val="572D1F85"/>
    <w:rsid w:val="5777BCF9"/>
    <w:rsid w:val="59655E9C"/>
    <w:rsid w:val="5968ACCD"/>
    <w:rsid w:val="59DB47EB"/>
    <w:rsid w:val="59F96346"/>
    <w:rsid w:val="5CFE1BFC"/>
    <w:rsid w:val="5DA542DE"/>
    <w:rsid w:val="5E137853"/>
    <w:rsid w:val="61093472"/>
    <w:rsid w:val="667619C9"/>
    <w:rsid w:val="667E0F65"/>
    <w:rsid w:val="680C099C"/>
    <w:rsid w:val="69A10F0F"/>
    <w:rsid w:val="69C55BBB"/>
    <w:rsid w:val="6AFF693A"/>
    <w:rsid w:val="6D005B6E"/>
    <w:rsid w:val="70167F0D"/>
    <w:rsid w:val="733542F3"/>
    <w:rsid w:val="746703C5"/>
    <w:rsid w:val="77CDEBFB"/>
    <w:rsid w:val="77DBD65F"/>
    <w:rsid w:val="7878394F"/>
    <w:rsid w:val="7A94429B"/>
    <w:rsid w:val="7BFF60D7"/>
    <w:rsid w:val="7E0A7C9D"/>
    <w:rsid w:val="7E8B524E"/>
    <w:rsid w:val="7E944499"/>
    <w:rsid w:val="9E8756F7"/>
    <w:rsid w:val="9FBEEF44"/>
    <w:rsid w:val="9FCFC41E"/>
    <w:rsid w:val="BBEFB850"/>
    <w:rsid w:val="BEDF4C9A"/>
    <w:rsid w:val="D6B51D0C"/>
    <w:rsid w:val="D6CF6861"/>
    <w:rsid w:val="EED38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5"/>
    <w:basedOn w:val="1"/>
    <w:next w:val="1"/>
    <w:link w:val="27"/>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widowControl/>
      <w:ind w:left="420" w:leftChars="200"/>
      <w:jc w:val="left"/>
    </w:pPr>
    <w:rPr>
      <w:rFonts w:ascii="宋体" w:hAnsi="宋体" w:cs="宋体"/>
      <w:kern w:val="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style>
  <w:style w:type="character" w:styleId="11">
    <w:name w:val="FollowedHyperlink"/>
    <w:basedOn w:val="9"/>
    <w:unhideWhenUsed/>
    <w:qFormat/>
    <w:uiPriority w:val="99"/>
    <w:rPr>
      <w:color w:val="800080"/>
      <w:u w:val="none"/>
    </w:rPr>
  </w:style>
  <w:style w:type="character" w:styleId="12">
    <w:name w:val="Emphasis"/>
    <w:basedOn w:val="9"/>
    <w:qFormat/>
    <w:uiPriority w:val="20"/>
  </w:style>
  <w:style w:type="character" w:styleId="13">
    <w:name w:val="HTML Definition"/>
    <w:basedOn w:val="9"/>
    <w:unhideWhenUsed/>
    <w:qFormat/>
    <w:uiPriority w:val="99"/>
  </w:style>
  <w:style w:type="character" w:styleId="14">
    <w:name w:val="HTML Typewriter"/>
    <w:basedOn w:val="9"/>
    <w:unhideWhenUsed/>
    <w:qFormat/>
    <w:uiPriority w:val="99"/>
    <w:rPr>
      <w:rFonts w:hint="default" w:ascii="monospace" w:hAnsi="monospace" w:eastAsia="monospace" w:cs="monospace"/>
      <w:sz w:val="20"/>
    </w:rPr>
  </w:style>
  <w:style w:type="character" w:styleId="15">
    <w:name w:val="HTML Acronym"/>
    <w:basedOn w:val="9"/>
    <w:unhideWhenUsed/>
    <w:qFormat/>
    <w:uiPriority w:val="99"/>
  </w:style>
  <w:style w:type="character" w:styleId="16">
    <w:name w:val="HTML Variable"/>
    <w:basedOn w:val="9"/>
    <w:unhideWhenUsed/>
    <w:qFormat/>
    <w:uiPriority w:val="99"/>
  </w:style>
  <w:style w:type="character" w:styleId="17">
    <w:name w:val="Hyperlink"/>
    <w:basedOn w:val="9"/>
    <w:unhideWhenUsed/>
    <w:qFormat/>
    <w:uiPriority w:val="99"/>
    <w:rPr>
      <w:color w:val="0000FF"/>
      <w:u w:val="single"/>
    </w:rPr>
  </w:style>
  <w:style w:type="character" w:styleId="18">
    <w:name w:val="HTML Code"/>
    <w:basedOn w:val="9"/>
    <w:unhideWhenUsed/>
    <w:qFormat/>
    <w:uiPriority w:val="99"/>
    <w:rPr>
      <w:rFonts w:hint="default" w:ascii="monospace" w:hAnsi="monospace" w:eastAsia="monospace" w:cs="monospace"/>
      <w:sz w:val="20"/>
    </w:rPr>
  </w:style>
  <w:style w:type="character" w:styleId="19">
    <w:name w:val="HTML Cite"/>
    <w:basedOn w:val="9"/>
    <w:unhideWhenUsed/>
    <w:qFormat/>
    <w:uiPriority w:val="99"/>
  </w:style>
  <w:style w:type="character" w:styleId="20">
    <w:name w:val="HTML Keyboard"/>
    <w:basedOn w:val="9"/>
    <w:unhideWhenUsed/>
    <w:qFormat/>
    <w:uiPriority w:val="99"/>
    <w:rPr>
      <w:rFonts w:hint="default" w:ascii="monospace" w:hAnsi="monospace" w:eastAsia="monospace" w:cs="monospace"/>
      <w:vanish/>
      <w:sz w:val="20"/>
    </w:rPr>
  </w:style>
  <w:style w:type="character" w:styleId="21">
    <w:name w:val="HTML Sample"/>
    <w:basedOn w:val="9"/>
    <w:unhideWhenUsed/>
    <w:qFormat/>
    <w:uiPriority w:val="99"/>
    <w:rPr>
      <w:rFonts w:ascii="monospace" w:hAnsi="monospace" w:eastAsia="monospace" w:cs="monospace"/>
    </w:rPr>
  </w:style>
  <w:style w:type="paragraph" w:customStyle="1" w:styleId="23">
    <w:name w:val="BodyText1I2"/>
    <w:basedOn w:val="24"/>
    <w:qFormat/>
    <w:uiPriority w:val="0"/>
    <w:pPr>
      <w:spacing w:after="120" w:afterLines="0"/>
      <w:ind w:left="420" w:leftChars="200" w:firstLine="420" w:firstLineChars="200"/>
      <w:jc w:val="both"/>
      <w:textAlignment w:val="baseline"/>
    </w:pPr>
  </w:style>
  <w:style w:type="paragraph" w:customStyle="1" w:styleId="24">
    <w:name w:val="BodyTextIndent"/>
    <w:basedOn w:val="1"/>
    <w:qFormat/>
    <w:uiPriority w:val="0"/>
    <w:pPr>
      <w:spacing w:after="120" w:afterLines="0"/>
      <w:ind w:left="420" w:leftChars="200"/>
      <w:jc w:val="both"/>
      <w:textAlignment w:val="baseline"/>
    </w:pPr>
  </w:style>
  <w:style w:type="paragraph" w:customStyle="1" w:styleId="25">
    <w:name w:val="List Paragraph"/>
    <w:basedOn w:val="1"/>
    <w:qFormat/>
    <w:uiPriority w:val="34"/>
    <w:pPr>
      <w:ind w:firstLine="420" w:firstLineChars="200"/>
    </w:pPr>
  </w:style>
  <w:style w:type="character" w:customStyle="1" w:styleId="26">
    <w:name w:val="标题 4 字符"/>
    <w:basedOn w:val="9"/>
    <w:link w:val="3"/>
    <w:qFormat/>
    <w:uiPriority w:val="9"/>
    <w:rPr>
      <w:rFonts w:ascii="宋体" w:hAnsi="宋体" w:eastAsia="宋体" w:cs="宋体"/>
      <w:b/>
      <w:bCs/>
      <w:kern w:val="0"/>
      <w:sz w:val="24"/>
      <w:szCs w:val="24"/>
    </w:rPr>
  </w:style>
  <w:style w:type="character" w:customStyle="1" w:styleId="27">
    <w:name w:val="标题 5 字符"/>
    <w:basedOn w:val="9"/>
    <w:link w:val="4"/>
    <w:qFormat/>
    <w:uiPriority w:val="9"/>
    <w:rPr>
      <w:rFonts w:ascii="宋体" w:hAnsi="宋体" w:eastAsia="宋体" w:cs="宋体"/>
      <w:b/>
      <w:bCs/>
      <w:kern w:val="0"/>
      <w:sz w:val="20"/>
      <w:szCs w:val="20"/>
    </w:rPr>
  </w:style>
  <w:style w:type="paragraph" w:customStyle="1" w:styleId="28">
    <w:name w:val="acti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HTML Top of Form"/>
    <w:basedOn w:val="1"/>
    <w:next w:val="1"/>
    <w:link w:val="30"/>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30">
    <w:name w:val="z-窗体顶端 字符"/>
    <w:basedOn w:val="9"/>
    <w:link w:val="29"/>
    <w:semiHidden/>
    <w:qFormat/>
    <w:uiPriority w:val="99"/>
    <w:rPr>
      <w:rFonts w:ascii="Arial" w:hAnsi="Arial" w:eastAsia="宋体" w:cs="Arial"/>
      <w:vanish/>
      <w:kern w:val="0"/>
      <w:sz w:val="16"/>
      <w:szCs w:val="16"/>
    </w:rPr>
  </w:style>
  <w:style w:type="paragraph" w:customStyle="1" w:styleId="31">
    <w:name w:val="HTML Bottom of Form"/>
    <w:basedOn w:val="1"/>
    <w:next w:val="1"/>
    <w:link w:val="32"/>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32">
    <w:name w:val="z-窗体底端 字符"/>
    <w:basedOn w:val="9"/>
    <w:link w:val="31"/>
    <w:semiHidden/>
    <w:qFormat/>
    <w:uiPriority w:val="99"/>
    <w:rPr>
      <w:rFonts w:ascii="Arial" w:hAnsi="Arial" w:eastAsia="宋体" w:cs="Arial"/>
      <w:vanish/>
      <w:kern w:val="0"/>
      <w:sz w:val="16"/>
      <w:szCs w:val="16"/>
    </w:rPr>
  </w:style>
  <w:style w:type="paragraph" w:customStyle="1" w:styleId="33">
    <w:name w:val="ite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
    <w:name w:val="layui-this"/>
    <w:basedOn w:val="9"/>
    <w:qFormat/>
    <w:uiPriority w:val="0"/>
    <w:rPr>
      <w:bdr w:val="single" w:color="EEEEEE" w:sz="6" w:space="0"/>
      <w:shd w:val="clear" w:fill="FFFFFF"/>
    </w:rPr>
  </w:style>
  <w:style w:type="character" w:customStyle="1" w:styleId="35">
    <w:name w:val="first-child"/>
    <w:basedOn w:val="9"/>
    <w:qFormat/>
    <w:uiPriority w:val="0"/>
  </w:style>
  <w:style w:type="character" w:customStyle="1" w:styleId="36">
    <w:name w:val="must1"/>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3412</Words>
  <Characters>3531</Characters>
  <Lines>28</Lines>
  <Paragraphs>8</Paragraphs>
  <ScaleCrop>false</ScaleCrop>
  <LinksUpToDate>false</LinksUpToDate>
  <CharactersWithSpaces>3532</CharactersWithSpaces>
  <Application>WPS Office_10.8.2.6515_F1E327BC-269C-435d-A152-05C5408002CA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2024-01-07T09:55:00Z</dcterms:created>
  <dc:creator>杨 白</dc:creator>
  <cp:lastModifiedBy>ntko</cp:lastModifiedBy>
  <cp:lastPrinted>2026-01-13T05:51:00Z</cp:lastPrinted>
  <dcterms:modified xsi:type="dcterms:W3CDTF">2026-03-02T06:49:05Z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2052-10.8.2.6515</vt:lpwstr>
  </property>
  <property fmtid="{D5CDD505-2E9C-101B-9397-08002B2CF9AE}" pid="3" name="KSOTemplateDocerSaveRecord">
    <vt:lpwstr>eyJoZGlkIjoiZjhlNDE3OWQxMTJjZTliOGVkNTBiN2M2OGFlZDIyZDkiLCJ1c2VySWQiOiIyNDg5Mzk1MzUifQ==</vt:lpwstr>
  </property>
  <property fmtid="{D5CDD505-2E9C-101B-9397-08002B2CF9AE}" pid="4" name="ICV">
    <vt:lpwstr>AEA956873E77408EBB7A90907922A23A_12</vt:lpwstr>
  </property>
</Properties>
</file>